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the-ceuta-signal"/>
    <w:p>
      <w:pPr>
        <w:pStyle w:val="Heading1"/>
      </w:pPr>
      <w:r>
        <w:t xml:space="preserve">The Ceuta Signal</w:t>
      </w:r>
    </w:p>
    <w:p>
      <w:pPr>
        <w:pStyle w:val="FirstParagraph"/>
      </w:pPr>
      <w:r>
        <w:rPr>
          <w:i/>
          <w:iCs/>
        </w:rPr>
        <w:t xml:space="preserve">A Bayesian Game-Theoretic Analysis of Migration Risk, Political Signalling and Electoral Payoffs</w:t>
      </w:r>
    </w:p>
    <w:p>
      <w:pPr>
        <w:pStyle w:val="BodyText"/>
      </w:pPr>
      <w:r>
        <w:t xml:space="preserve">Davide Scuteri Moretti — 3 August 2026</w:t>
      </w:r>
    </w:p>
    <w:p>
      <w:pPr>
        <w:pStyle w:val="BodyText"/>
      </w:pPr>
      <w:r>
        <w:t xml:space="preserve">Working Paper — Version 1.0</w:t>
      </w:r>
    </w:p>
    <w:p>
      <w:pPr>
        <w:pStyle w:val="BodyText"/>
      </w:pPr>
      <w:r>
        <w:t xml:space="preserve">JEL: C72, D72, D81, D82, D83, F22</w:t>
      </w:r>
    </w:p>
    <w:p>
      <w:pPr>
        <w:pStyle w:val="BodyText"/>
      </w:pPr>
      <w:r>
        <w:t xml:space="preserve">Keywords: Bayesian games; Costly signalling; Ambiguity aversion; Issue ownership; Migration; Ceuta; Schengen; Electoral competition; Responsibility delegation</w:t>
      </w:r>
    </w:p>
    <w:bookmarkStart w:id="9" w:name="abstract"/>
    <w:p>
      <w:pPr>
        <w:pStyle w:val="Heading2"/>
      </w:pPr>
      <w:r>
        <w:t xml:space="preserve">Abstract</w:t>
      </w:r>
    </w:p>
    <w:p>
      <w:pPr>
        <w:pStyle w:val="FirstParagraph"/>
      </w:pPr>
      <w:r>
        <w:t xml:space="preserve">The late-July 2026 crisis in Ceuta produced an apparent contradiction. Pedro Sánchez advanced a comparatively strong base-rate argument: figures publicly attributed to Frontex for 2021–2026 placed detected irregular entries through Italy at 478,600 and those through Spain at 234,760. Giorgia Meloni nevertheless obtained a potentially favourable strategic position by converting a geographically contained Spanish emergency into a salient prospective risk for Italian voters and by coupling that frame with the temporary reintroduction of controls at Italy’s internal air and sea borders with Spain. This paper formalises the episode as a Bayesian signalling and electoral competition game. Voters update on an external shock, an elite action, public institutional responses and data-based counter-messages; however, their posterior beliefs may be distorted by salience, ambiguity aversion, loss aversion, rational inattention and responsibility-shifting preferences. The government’s intervention is modelled simultaneously as a preventive action, a costly signal of type and a device for endogenously raising the electoral weight of an issue on which it enjoys comparative ownership. Five propositions and a general strategic-dominance theorem characterise the conditions under which a politician can gain votes from a low-probability external risk even when the opponent’s statistical description is more accurate. The central result is that descriptive accuracy and electoral optimality are orthogonal: Sánchez may dominate with respect to the historical base rate while Meloni dominates with respect to the game form, the information structure and the marginal voter’s perceived payoff matrix.</w:t>
      </w:r>
    </w:p>
    <w:p>
      <w:pPr>
        <w:pStyle w:val="BodyText"/>
      </w:pPr>
      <w:r>
        <w:rPr>
          <w:b/>
          <w:bCs/>
        </w:rPr>
        <w:t xml:space="preserve">Main result.</w:t>
      </w:r>
      <w:r>
        <w:t xml:space="preserve"> </w:t>
      </w:r>
      <w:r>
        <w:t xml:space="preserve">If the salience, commitment and common-knowledge effects of the government’s intervention exceed the corrective effect of the opponent’s data, and if enough voters are close to the electoral threshold, a statistically weak threat can produce a strictly positive electoral payoff. Formally, electoral dominance does not imply epistemic dominance, and epistemic dominance does not imply electoral dominance.</w:t>
      </w:r>
    </w:p>
    <w:p>
      <w:pPr>
        <w:pStyle w:val="BodyText"/>
      </w:pPr>
      <w:r>
        <w:rPr>
          <w:b/>
          <w:bCs/>
        </w:rPr>
        <w:t xml:space="preserve">Analytical note.</w:t>
      </w:r>
      <w:r>
        <w:t xml:space="preserve"> </w:t>
      </w:r>
      <w:r>
        <w:t xml:space="preserve">This paper studies strategic incentives and belief formation. It does not infer the legal, humanitarian or moral desirability of any migration policy from its electoral effectiveness. The numerical figures attributed to Frontex are treated as publicly circulated route-level detection counts, not as a census of unique persons.</w:t>
      </w:r>
    </w:p>
    <w:bookmarkEnd w:id="9"/>
    <w:bookmarkStart w:id="10" w:name="introduction"/>
    <w:p>
      <w:pPr>
        <w:pStyle w:val="Heading2"/>
      </w:pPr>
      <w:r>
        <w:t xml:space="preserve">1. Introduction</w:t>
      </w:r>
    </w:p>
    <w:p>
      <w:pPr>
        <w:pStyle w:val="FirstParagraph"/>
      </w:pPr>
      <w:r>
        <w:t xml:space="preserve">The Ceuta episode is analytically useful because it separates two questions that democratic discourse often conflates. The first is epistemic: which political actor offers the best statistical description of the migration risk? The second is strategic: which actor changes enough voters’ expected utilities to obtain an electoral advantage? The first question concerns inference. The second concerns equilibrium.</w:t>
      </w:r>
    </w:p>
    <w:p>
      <w:pPr>
        <w:pStyle w:val="BodyText"/>
      </w:pPr>
      <w:r>
        <w:t xml:space="preserve">In the public exchange, S</w:t>
      </w:r>
      <w:r>
        <w:t xml:space="preserve">0E1nchez’s reply relied on accumulated detections of irregular border crossings. The figures he circulated and attributed to Frontex placed Italy above Spain over the 2021</w:t>
      </w:r>
      <w:r>
        <w:t xml:space="preserve">0132026 interval. Meloni’s move did not directly disprove those counts. Instead, it altered the temporal and conditional object of comparison. The relevant question for her target voter became not</w:t>
      </w:r>
      <w:r>
        <w:t xml:space="preserve"> </w:t>
      </w:r>
      <w:r>
        <w:t xml:space="preserve">“Which route generated more detections during the previous five years?”</w:t>
      </w:r>
      <w:r>
        <w:t xml:space="preserve"> </w:t>
      </w:r>
      <w:r>
        <w:t xml:space="preserve">but</w:t>
      </w:r>
      <w:r>
        <w:t xml:space="preserve"> </w:t>
      </w:r>
      <w:r>
        <w:t xml:space="preserve">“Which government will reduce the probability that the present external shock reaches me?”</w:t>
      </w:r>
    </w:p>
    <w:p>
      <w:pPr>
        <w:pStyle w:val="BodyText"/>
      </w:pPr>
      <w:r>
        <w:t xml:space="preserve">That transformation is game-theoretically nontrivial. A historical frequency is a base rate; a mass border event is a public signal; an internal-border intervention is both an action and a signal of governmental type; the European reaction affects higher-order beliefs; and the voter’s decision is conditioned by loss aversion, limited attention and the opportunity to delegate responsibility. These mechanisms can make a low-probability event electorally decisive without making it objectively probable.</w:t>
      </w:r>
    </w:p>
    <w:p>
      <w:pPr>
        <w:pStyle w:val="BodyText"/>
      </w:pPr>
      <w:r>
        <w:t xml:space="preserve">The paper contributes a compact formal synthesis. It embeds Bayesian updating, salience weighting, maxmin expected utility, costly signalling, strategic information transmission and issue ownership in a single electoral framework. The purpose is not to claim that every voter literally solves the equations below. The model instead identifies the incentives that can emerge from stable behavioural regularities and from the strategic structure of political communication.</w:t>
      </w:r>
    </w:p>
    <w:p>
      <w:pPr>
        <w:pStyle w:val="BodyText"/>
      </w:pPr>
      <w:r>
        <w:t xml:space="preserve">The central thesis can be expressed in one line:</w:t>
      </w:r>
    </w:p>
    <w:p>
      <w:pPr>
        <w:pStyle w:val="BodyText"/>
      </w:pPr>
      <m:oMathPara>
        <m:oMathParaPr>
          <m:jc m:val="center"/>
        </m:oMathParaPr>
        <m:oMath>
          <m:r>
            <m:rPr>
              <m:sty m:val="p"/>
            </m:rPr>
            <m:t>arg</m:t>
          </m:r>
          <m:limLow>
            <m:e>
              <m:r>
                <m:rPr>
                  <m:sty m:val="p"/>
                </m:rPr>
                <m:t>max</m:t>
              </m:r>
            </m:e>
            <m:lim>
              <m:r>
                <m:t>m</m:t>
              </m:r>
            </m:lim>
          </m:limLow>
          <m:r>
            <m:rPr>
              <m:nor/>
              <m:sty m:val="p"/>
            </m:rPr>
            <m:t>Accuracy</m:t>
          </m:r>
          <m:r>
            <m:rPr>
              <m:sty m:val="p"/>
            </m:rPr>
            <m:t>(</m:t>
          </m:r>
          <m:r>
            <m:t>m</m:t>
          </m:r>
          <m:r>
            <m:rPr>
              <m:sty m:val="p"/>
            </m:rPr>
            <m:t>)</m:t>
          </m:r>
          <m:r>
            <m:rPr>
              <m:sty m:val="p"/>
            </m:rPr>
            <m:t>≠</m:t>
          </m:r>
          <m:r>
            <m:rPr>
              <m:sty m:val="p"/>
            </m:rPr>
            <m:t>arg</m:t>
          </m:r>
          <m:limLow>
            <m:e>
              <m:r>
                <m:rPr>
                  <m:sty m:val="p"/>
                </m:rPr>
                <m:t>max</m:t>
              </m:r>
            </m:e>
            <m:lim>
              <m:r>
                <m:t>a</m:t>
              </m:r>
            </m:lim>
          </m:limLow>
          <m:r>
            <m:rPr>
              <m:nor/>
              <m:sty m:val="p"/>
            </m:rPr>
            <m:t>ElectoralPayoff</m:t>
          </m:r>
          <m:r>
            <m:rPr>
              <m:sty m:val="p"/>
            </m:rPr>
            <m:t>(</m:t>
          </m:r>
          <m:r>
            <m:t>a</m:t>
          </m:r>
          <m:r>
            <m:rPr>
              <m:sty m:val="p"/>
            </m:rPr>
            <m:t>)</m:t>
          </m:r>
          <m:r>
            <m:t> </m:t>
          </m:r>
          <m:r>
            <m:rPr>
              <m:sty m:val="p"/>
            </m:rPr>
            <m:t>(</m:t>
          </m:r>
          <m:r>
            <m:t>1</m:t>
          </m:r>
          <m:r>
            <m:rPr>
              <m:sty m:val="p"/>
            </m:rPr>
            <m:t>)</m:t>
          </m:r>
        </m:oMath>
      </m:oMathPara>
    </w:p>
    <w:p>
      <w:pPr>
        <w:pStyle w:val="FirstParagraph"/>
      </w:pPr>
      <w:r>
        <w:t xml:space="preserve">A message may maximise accuracy while an action maximises votes. Conversely, an electorally profitable action may be weakly connected to the modal factual state. This divergence is not an anomaly outside game theory; it is precisely what one should expect when players have different objectives, information sets and payoff functions.</w:t>
      </w:r>
    </w:p>
    <w:p>
      <w:pPr>
        <w:pStyle w:val="BodyText"/>
      </w:pPr>
      <w:r>
        <w:t xml:space="preserve">The remainder of the paper proceeds as follows. Section 2 reconstructs the empirical and institutional setting. Section 3 places the model in the literature. Sections 4</w:t>
      </w:r>
      <w:r>
        <w:t xml:space="preserve">01310 develop the game. Section 11 states the main theorem. Section 12 provides a numerical calibration. Section 13 discusses interpretation and limitations, and Section 14 concludes.</w:t>
      </w:r>
    </w:p>
    <w:bookmarkEnd w:id="10"/>
    <w:bookmarkStart w:id="13" w:name="institutional-and-empirical-background"/>
    <w:p>
      <w:pPr>
        <w:pStyle w:val="Heading2"/>
      </w:pPr>
      <w:r>
        <w:t xml:space="preserve">2. Institutional and empirical background</w:t>
      </w:r>
    </w:p>
    <w:bookmarkStart w:id="11" w:name="the-shock-and-the-policy-response"/>
    <w:p>
      <w:pPr>
        <w:pStyle w:val="Heading3"/>
      </w:pPr>
      <w:r>
        <w:t xml:space="preserve">2.1. The shock and the policy response</w:t>
      </w:r>
    </w:p>
    <w:p>
      <w:pPr>
        <w:pStyle w:val="FirstParagraph"/>
      </w:pPr>
      <w:r>
        <w:t xml:space="preserve">During the late-July 2026 border emergency, tens of thousands of people crossed from Morocco into the Spanish autonomous city of Ceuta. Contemporary reporting converged on a final Spanish estimate of approximately 50,000 irregular entries, while 48,300 people were reported to have returned voluntarily to Morocco by the following day, leaving fewer than 2,000 in the enclave at that stage (El Pa</w:t>
      </w:r>
      <w:r>
        <w:t xml:space="preserve">0EDs, 2026). Reuters reported both the rapid return movement and the fatalities associated with the border rush (Reuters, 2026).</w:t>
      </w:r>
    </w:p>
    <w:p>
      <w:pPr>
        <w:pStyle w:val="BodyText"/>
      </w:pPr>
      <w:r>
        <w:t xml:space="preserve">Italy responded by temporarily reintroducing controls at internal air and sea borders with Spain. The European Commission’s Schengen notification page records the Italian measure for 1 August to 1 September 2026 and identifies the stated rationale as a threat to public policy, internal security and migration management, including a perceived risk of secondary movements from Ceuta (European Commission, 2026a). Under the Schengen Borders Code, such controls are legally conceived as exceptional, time-limited, necessary and proportionate measures of last resort (European Parliament and Council, 2016; European Commission, 2026a).</w:t>
      </w:r>
    </w:p>
    <w:p>
      <w:pPr>
        <w:pStyle w:val="BodyText"/>
      </w:pPr>
      <w:r>
        <w:t xml:space="preserve">The important distinction for the model is that the event was large relative to the population and reception capacity of Ceuta but not automatically equivalent to a large realised flow into continental Europe, still less into Italy. Its electoral relevance depended on the conversion of a local realised shock into a prospective transnational risk.</w:t>
      </w:r>
    </w:p>
    <w:bookmarkEnd w:id="11"/>
    <w:bookmarkStart w:id="12" w:name="the-s0e1nchez-base-rate-argument"/>
    <w:p>
      <w:pPr>
        <w:pStyle w:val="Heading3"/>
      </w:pPr>
      <w:r>
        <w:t xml:space="preserve">2.2. The S</w:t>
      </w:r>
      <w:r>
        <w:t xml:space="preserve">0E1nchez base-rate argument</w:t>
      </w:r>
    </w:p>
    <w:p>
      <w:pPr>
        <w:pStyle w:val="FirstParagraph"/>
      </w:pPr>
      <w:r>
        <w:t xml:space="preserve">S</w:t>
      </w:r>
      <w:r>
        <w:t xml:space="preserve">0E1nchez answered the Italian position by publicising route-level values attributed to Frontex for 2021</w:t>
      </w:r>
      <w:r>
        <w:t xml:space="preserve">0132026: 478,600 detected irregular entries through Italy, 340,600 through the Western Balkans, 259,800 through Greece and 234,760 through Spain (Cadena SER, 2026). The argument was designed to show that the Spanish route was not the Union’s principal structural vulnerability and that Italy had historically experienced a substantially larger volume. Let</w:t>
      </w:r>
      <w:r>
        <w:t xml:space="preserve"> </w:t>
      </w:r>
      <m:oMath>
        <m:sSub>
          <m:e>
            <m:r>
              <m:t>M</m:t>
            </m:r>
          </m:e>
          <m:sub>
            <m:r>
              <m:t>I</m:t>
            </m:r>
          </m:sub>
        </m:sSub>
      </m:oMath>
      <w:r>
        <w:t xml:space="preserve"> </w:t>
      </w:r>
      <w:r>
        <w:t xml:space="preserve">denote the reported Italian count and</w:t>
      </w:r>
      <w:r>
        <w:t xml:space="preserve"> </w:t>
      </w:r>
      <m:oMath>
        <m:sSub>
          <m:e>
            <m:r>
              <m:t>M</m:t>
            </m:r>
          </m:e>
          <m:sub>
            <m:r>
              <m:t>S</m:t>
            </m:r>
          </m:sub>
        </m:sSub>
      </m:oMath>
      <w:r>
        <w:t xml:space="preserve"> </w:t>
      </w:r>
      <w:r>
        <w:t xml:space="preserve">the reported Spanish count:</w:t>
      </w:r>
    </w:p>
    <w:p>
      <w:pPr>
        <w:pStyle w:val="BodyText"/>
      </w:pPr>
      <m:oMathPara>
        <m:oMathParaPr>
          <m:jc m:val="center"/>
        </m:oMathParaPr>
        <m:oMath>
          <m:sSub>
            <m:e>
              <m:r>
                <m:t>M</m:t>
              </m:r>
            </m:e>
            <m:sub>
              <m:r>
                <m:t>I</m:t>
              </m:r>
            </m:sub>
          </m:sSub>
          <m:r>
            <m:rPr>
              <m:sty m:val="p"/>
            </m:rPr>
            <m:t>=</m:t>
          </m:r>
          <m:r>
            <m:t>478</m:t>
          </m:r>
          <m:r>
            <m:rPr>
              <m:sty m:val="p"/>
            </m:rPr>
            <m:t>,</m:t>
          </m:r>
          <m:r>
            <m:t>600</m:t>
          </m:r>
          <m:r>
            <m:rPr>
              <m:sty m:val="p"/>
            </m:rPr>
            <m:t>,</m:t>
          </m:r>
          <m:r>
            <m:t> </m:t>
          </m:r>
          <m:sSub>
            <m:e>
              <m:r>
                <m:t>M</m:t>
              </m:r>
            </m:e>
            <m:sub>
              <m:r>
                <m:t>S</m:t>
              </m:r>
            </m:sub>
          </m:sSub>
          <m:r>
            <m:rPr>
              <m:sty m:val="p"/>
            </m:rPr>
            <m:t>=</m:t>
          </m:r>
          <m:r>
            <m:t>234</m:t>
          </m:r>
          <m:r>
            <m:rPr>
              <m:sty m:val="p"/>
            </m:rPr>
            <m:t>,</m:t>
          </m:r>
          <m:r>
            <m:t>760</m:t>
          </m:r>
          <m:r>
            <m:rPr>
              <m:sty m:val="p"/>
            </m:rPr>
            <m:t>.</m:t>
          </m:r>
          <m:r>
            <m:t> </m:t>
          </m:r>
          <m:r>
            <m:rPr>
              <m:sty m:val="p"/>
            </m:rPr>
            <m:t>(</m:t>
          </m:r>
          <m:r>
            <m:t>2</m:t>
          </m:r>
          <m:r>
            <m:rPr>
              <m:sty m:val="p"/>
            </m:rPr>
            <m:t>)</m:t>
          </m:r>
        </m:oMath>
      </m:oMathPara>
    </w:p>
    <w:p>
      <w:pPr>
        <w:pStyle w:val="FirstParagraph"/>
      </w:pPr>
      <m:oMathPara>
        <m:oMathParaPr>
          <m:jc m:val="center"/>
        </m:oMathParaPr>
        <m:oMath>
          <m:sSub>
            <m:e>
              <m:r>
                <m:t>M</m:t>
              </m:r>
            </m:e>
            <m:sub>
              <m:r>
                <m:t>I</m:t>
              </m:r>
            </m:sub>
          </m:sSub>
          <m:r>
            <m:rPr>
              <m:sty m:val="p"/>
            </m:rPr>
            <m:t>/</m:t>
          </m:r>
          <m:sSub>
            <m:e>
              <m:r>
                <m:t>M</m:t>
              </m:r>
            </m:e>
            <m:sub>
              <m:r>
                <m:t>S</m:t>
              </m:r>
            </m:sub>
          </m:sSub>
          <m:r>
            <m:rPr>
              <m:sty m:val="p"/>
            </m:rPr>
            <m:t>≈</m:t>
          </m:r>
          <m:r>
            <m:t>2.039</m:t>
          </m:r>
          <m:r>
            <m:rPr>
              <m:sty m:val="p"/>
            </m:rPr>
            <m:t>.</m:t>
          </m:r>
          <m:r>
            <m:t> </m:t>
          </m:r>
          <m:r>
            <m:rPr>
              <m:sty m:val="p"/>
            </m:rPr>
            <m:t>(</m:t>
          </m:r>
          <m:r>
            <m:t>3</m:t>
          </m:r>
          <m:r>
            <m:rPr>
              <m:sty m:val="p"/>
            </m:rPr>
            <m:t>)</m:t>
          </m:r>
        </m:oMath>
      </m:oMathPara>
    </w:p>
    <w:p>
      <w:pPr>
        <w:pStyle w:val="FirstParagraph"/>
      </w:pPr>
      <m:oMathPara>
        <m:oMathParaPr>
          <m:jc m:val="center"/>
        </m:oMathParaPr>
        <m:oMath>
          <m:sSub>
            <m:e>
              <m:r>
                <m:t>s</m:t>
              </m:r>
            </m:e>
            <m:sub>
              <m:r>
                <m:t>I</m:t>
              </m:r>
            </m:sub>
          </m:sSub>
          <m:r>
            <m:rPr>
              <m:sty m:val="p"/>
            </m:rPr>
            <m:t>=</m:t>
          </m:r>
          <m:f>
            <m:fPr>
              <m:type m:val="bar"/>
            </m:fPr>
            <m:num>
              <m:sSub>
                <m:e>
                  <m:r>
                    <m:t>M</m:t>
                  </m:r>
                </m:e>
                <m:sub>
                  <m:r>
                    <m:t>I</m:t>
                  </m:r>
                </m:sub>
              </m:sSub>
            </m:num>
            <m:den>
              <m:sSub>
                <m:e>
                  <m:r>
                    <m:t>M</m:t>
                  </m:r>
                </m:e>
                <m:sub>
                  <m:r>
                    <m:t>I</m:t>
                  </m:r>
                </m:sub>
              </m:sSub>
              <m:r>
                <m:rPr>
                  <m:sty m:val="p"/>
                </m:rPr>
                <m:t>+</m:t>
              </m:r>
              <m:sSub>
                <m:e>
                  <m:r>
                    <m:t>M</m:t>
                  </m:r>
                </m:e>
                <m:sub>
                  <m:r>
                    <m:t>S</m:t>
                  </m:r>
                </m:sub>
              </m:sSub>
            </m:den>
          </m:f>
          <m:r>
            <m:rPr>
              <m:sty m:val="p"/>
            </m:rPr>
            <m:t>≈</m:t>
          </m:r>
          <m:r>
            <m:t>0.671</m:t>
          </m:r>
          <m:r>
            <m:rPr>
              <m:sty m:val="p"/>
            </m:rPr>
            <m:t>,</m:t>
          </m:r>
          <m:r>
            <m:t> </m:t>
          </m:r>
          <m:sSub>
            <m:e>
              <m:r>
                <m:t>s</m:t>
              </m:r>
            </m:e>
            <m:sub>
              <m:r>
                <m:t>S</m:t>
              </m:r>
            </m:sub>
          </m:sSub>
          <m:r>
            <m:rPr>
              <m:sty m:val="p"/>
            </m:rPr>
            <m:t>≈</m:t>
          </m:r>
          <m:r>
            <m:t>0.329</m:t>
          </m:r>
          <m:r>
            <m:rPr>
              <m:sty m:val="p"/>
            </m:rPr>
            <m:t>.</m:t>
          </m:r>
          <m:r>
            <m:t> </m:t>
          </m:r>
          <m:r>
            <m:rPr>
              <m:sty m:val="p"/>
            </m:rPr>
            <m:t>(</m:t>
          </m:r>
          <m:r>
            <m:t>4</m:t>
          </m:r>
          <m:r>
            <m:rPr>
              <m:sty m:val="p"/>
            </m:rPr>
            <m:t>)</m:t>
          </m:r>
        </m:oMath>
      </m:oMathPara>
    </w:p>
    <w:p>
      <w:pPr>
        <w:pStyle w:val="FirstParagraph"/>
      </w:pPr>
      <w:r>
        <w:t xml:space="preserve">Within that restricted comparison, the Italian value is slightly more than twice the Spanish value. The descriptive point is strong but must be interpreted carefully. Frontex data concern detections of irregular border crossings along routes and need not correspond one-for-one to unique persons; individuals can in some circumstances be detected more than once. More importantly, accumulated route detections estimate a historical frequency, whereas Meloni’s claim concerned a conditional future risk following an exceptional event.</w:t>
      </w:r>
    </w:p>
    <w:p>
      <w:pPr>
        <w:pStyle w:val="BodyText"/>
      </w:pPr>
      <w:r>
        <w:t xml:space="preserve">Table 1 summarises the empirical inputs used in the model. The paper does not attempt an independent forensic reconstruction of the event; it studies the strategic consequences of the public information environment available on 3 August 2026.</w:t>
      </w:r>
    </w:p>
    <w:bookmarkEnd w:id="12"/>
    <w:bookmarkEnd w:id="13"/>
    <w:bookmarkStart w:id="14" w:name="relation-to-the-literature"/>
    <w:p>
      <w:pPr>
        <w:pStyle w:val="Heading2"/>
      </w:pPr>
      <w:r>
        <w:t xml:space="preserve">3. Relation to the literature</w:t>
      </w:r>
    </w:p>
    <w:p>
      <w:pPr>
        <w:pStyle w:val="FirstParagraph"/>
      </w:pPr>
      <w:r>
        <w:t xml:space="preserve">The model combines several literatures that are usually studied separately. Bayesian games with incomplete information originate in Harsanyi’s formalisation of type spaces and common priors. Political actors and voters in the present model possess different information and incentives; equilibrium therefore requires both strategies and beliefs.</w:t>
      </w:r>
    </w:p>
    <w:p>
      <w:pPr>
        <w:pStyle w:val="BodyText"/>
      </w:pPr>
      <w:r>
        <w:t xml:space="preserve">The distinction between S</w:t>
      </w:r>
      <w:r>
        <w:t xml:space="preserve">0E1nchez’s verbal rebuttal and Meloni’s action follows the theory of strategic communication. Crawford and Sobel show that cheap talk becomes less informative as sender and receiver preferences diverge. Even truthful data may have little marginal effect when the audience knows that the sender would defend the same national position across states. By contrast, Spence-style costly signalling allows an observable action to reveal type when the cost is lower for a genuinely committed type than for an opportunistic type.</w:t>
      </w:r>
    </w:p>
    <w:p>
      <w:pPr>
        <w:pStyle w:val="BodyText"/>
      </w:pPr>
      <w:r>
        <w:t xml:space="preserve">The treatment of attention and vividness draws on salience theory and rational inattention. Bordalo, Gennaioli and Shleifer formalise the overweighting of states that stand out relative to a reference set. Sims shows that information processing is itself costly. A dramatic mass event may consequently dominate a statistically richer but cognitively expensive time series.</w:t>
      </w:r>
    </w:p>
    <w:p>
      <w:pPr>
        <w:pStyle w:val="BodyText"/>
      </w:pPr>
      <w:r>
        <w:t xml:space="preserve">The decision under uncertainty combines prospect theory, reference dependence and ambiguity aversion. Loss aversion makes preventive policies attractive even when their perceived effectiveness is small. Gilboa and Schmeidler’s maxmin criterion explains why voters may optimise against a worst plausible probability rather than a central estimate. K</w:t>
      </w:r>
      <w:r>
        <w:t xml:space="preserve">151szegi and Rabin provide a framework in which losses are evaluated relative to expectations rather than absolute outcomes.</w:t>
      </w:r>
    </w:p>
    <w:p>
      <w:pPr>
        <w:pStyle w:val="BodyText"/>
      </w:pPr>
      <w:r>
        <w:t xml:space="preserve">The responsibility-transfer component is related to experimental work showing that delegation can diffuse responsibility for self-interested or harmful choices. Hamman, Loewenstein and Weber and Bartling and Fischbacher demonstrate that principals may use agents to shift perceived responsibility even when they retain substantial control over the outcome. In electoral politics, a protective leader can perform an analogous function by converting uncertain collective agency into delegated executive ownership.</w:t>
      </w:r>
    </w:p>
    <w:p>
      <w:pPr>
        <w:pStyle w:val="BodyText"/>
      </w:pPr>
      <w:r>
        <w:t xml:space="preserve">Finally, the issue-salience mechanism connects to the literature on issue ownership and agenda manipulation. Petrocik argues that parties benefit when elections are fought on issues for which voters perceive them as comparatively competent. Riker’s concept of heresthetic emphasises that political victory can result from changing the dimensions of choice rather than persuading opponents within a fixed dimension. Meloni’s strongest strategic move is therefore not necessarily her estimate of migration risk; it is her capacity to make migration security the dimension on which the election is evaluated.</w:t>
      </w:r>
    </w:p>
    <w:bookmarkEnd w:id="14"/>
    <w:bookmarkStart w:id="17" w:name="the-basic-bayesian-political-game"/>
    <w:p>
      <w:pPr>
        <w:pStyle w:val="Heading2"/>
      </w:pPr>
      <w:r>
        <w:t xml:space="preserve">4. The basic Bayesian political game</w:t>
      </w:r>
    </w:p>
    <w:bookmarkStart w:id="15" w:name="players-states-and-timing"/>
    <w:p>
      <w:pPr>
        <w:pStyle w:val="Heading3"/>
      </w:pPr>
      <w:r>
        <w:t xml:space="preserve">4.1. Players, states and timing</w:t>
      </w:r>
    </w:p>
    <w:p>
      <w:pPr>
        <w:pStyle w:val="FirstParagraph"/>
      </w:pPr>
      <w:r>
        <w:t xml:space="preserve">Consider a finite Bayesian game</w:t>
      </w:r>
      <w:r>
        <w:t xml:space="preserve"> </w:t>
      </w:r>
      <m:oMath>
        <m:r>
          <m:rPr>
            <m:sty m:val="p"/>
          </m:rPr>
          <m:t>Γ</m:t>
        </m:r>
        <m:r>
          <m:rPr>
            <m:sty m:val="p"/>
          </m:rPr>
          <m:t>=</m:t>
        </m:r>
        <m:r>
          <m:rPr>
            <m:sty m:val="p"/>
          </m:rPr>
          <m:t>(</m:t>
        </m:r>
        <m:r>
          <m:t>N</m:t>
        </m:r>
        <m:r>
          <m:rPr>
            <m:sty m:val="p"/>
          </m:rPr>
          <m:t>,</m:t>
        </m:r>
        <m:r>
          <m:rPr>
            <m:sty m:val="p"/>
          </m:rPr>
          <m:t>Θ</m:t>
        </m:r>
        <m:r>
          <m:rPr>
            <m:sty m:val="p"/>
          </m:rPr>
          <m:t>,</m:t>
        </m:r>
        <m:r>
          <m:t>A</m:t>
        </m:r>
        <m:r>
          <m:rPr>
            <m:sty m:val="p"/>
          </m:rPr>
          <m:t>,</m:t>
        </m:r>
        <m:r>
          <m:t>P</m:t>
        </m:r>
        <m:r>
          <m:rPr>
            <m:sty m:val="p"/>
          </m:rPr>
          <m:t>,</m:t>
        </m:r>
        <m:r>
          <m:t>U</m:t>
        </m:r>
        <m:r>
          <m:rPr>
            <m:sty m:val="p"/>
          </m:rPr>
          <m:t>)</m:t>
        </m:r>
      </m:oMath>
      <w:r>
        <w:t xml:space="preserve">. The set of strategic players is</w:t>
      </w:r>
      <w:r>
        <w:t xml:space="preserve"> </w:t>
      </w:r>
      <m:oMath>
        <m:r>
          <m:t>N</m:t>
        </m:r>
        <m:r>
          <m:rPr>
            <m:sty m:val="p"/>
          </m:rPr>
          <m:t>=</m:t>
        </m:r>
        <m:r>
          <m:rPr>
            <m:sty m:val="p"/>
          </m:rPr>
          <m:t>{</m:t>
        </m:r>
        <m:r>
          <m:t>G</m:t>
        </m:r>
        <m:r>
          <m:rPr>
            <m:sty m:val="p"/>
          </m:rPr>
          <m:t>,</m:t>
        </m:r>
        <m:r>
          <m:t>S</m:t>
        </m:r>
        <m:r>
          <m:rPr>
            <m:sty m:val="p"/>
          </m:rPr>
          <m:t>,</m:t>
        </m:r>
        <m:r>
          <m:t>V</m:t>
        </m:r>
        <m:r>
          <m:rPr>
            <m:sty m:val="p"/>
          </m:rPr>
          <m:t>}</m:t>
        </m:r>
      </m:oMath>
      <w:r>
        <w:t xml:space="preserve">, where</w:t>
      </w:r>
      <w:r>
        <w:t xml:space="preserve"> </w:t>
      </w:r>
      <m:oMath>
        <m:r>
          <m:t>G</m:t>
        </m:r>
      </m:oMath>
      <w:r>
        <w:t xml:space="preserve"> </w:t>
      </w:r>
      <w:r>
        <w:t xml:space="preserve">is the Italian government,</w:t>
      </w:r>
      <w:r>
        <w:t xml:space="preserve"> </w:t>
      </w:r>
      <m:oMath>
        <m:r>
          <m:t>S</m:t>
        </m:r>
      </m:oMath>
      <w:r>
        <w:t xml:space="preserve"> </w:t>
      </w:r>
      <w:r>
        <w:t xml:space="preserve">is the Spanish government and</w:t>
      </w:r>
      <w:r>
        <w:t xml:space="preserve"> </w:t>
      </w:r>
      <m:oMath>
        <m:r>
          <m:t>V</m:t>
        </m:r>
      </m:oMath>
      <w:r>
        <w:t xml:space="preserve"> </w:t>
      </w:r>
      <w:r>
        <w:t xml:space="preserve">is a representative pivotal voter. A continuum version is introduced in Section 9.</w:t>
      </w:r>
    </w:p>
    <w:p>
      <w:pPr>
        <w:pStyle w:val="BodyText"/>
      </w:pPr>
      <w:r>
        <w:t xml:space="preserve">The state</w:t>
      </w:r>
      <w:r>
        <w:t xml:space="preserve"> </w:t>
      </w:r>
      <m:oMath>
        <m:r>
          <m:t>θ</m:t>
        </m:r>
        <m:r>
          <m:rPr>
            <m:sty m:val="p"/>
          </m:rPr>
          <m:t>∈</m:t>
        </m:r>
        <m:r>
          <m:rPr>
            <m:sty m:val="p"/>
          </m:rPr>
          <m:t>{</m:t>
        </m:r>
        <m:r>
          <m:t>0</m:t>
        </m:r>
        <m:r>
          <m:rPr>
            <m:sty m:val="p"/>
          </m:rPr>
          <m:t>,</m:t>
        </m:r>
        <m:r>
          <m:t>1</m:t>
        </m:r>
        <m:r>
          <m:rPr>
            <m:sty m:val="p"/>
          </m:rPr>
          <m:t>}</m:t>
        </m:r>
      </m:oMath>
      <w:r>
        <w:t xml:space="preserve"> </w:t>
      </w:r>
      <w:r>
        <w:t xml:space="preserve">represents whether the Ceuta event generates a materially significant onward-movement risk toward Italy. State</w:t>
      </w:r>
      <w:r>
        <w:t xml:space="preserve"> </w:t>
      </w:r>
      <m:oMath>
        <m:r>
          <m:t>θ</m:t>
        </m:r>
        <m:r>
          <m:rPr>
            <m:sty m:val="p"/>
          </m:rPr>
          <m:t>=</m:t>
        </m:r>
        <m:r>
          <m:t>1</m:t>
        </m:r>
      </m:oMath>
      <w:r>
        <w:t xml:space="preserve"> </w:t>
      </w:r>
      <w:r>
        <w:t xml:space="preserve">denotes a high-risk state and</w:t>
      </w:r>
      <w:r>
        <w:t xml:space="preserve"> </w:t>
      </w:r>
      <m:oMath>
        <m:r>
          <m:t>θ</m:t>
        </m:r>
        <m:r>
          <m:rPr>
            <m:sty m:val="p"/>
          </m:rPr>
          <m:t>=</m:t>
        </m:r>
        <m:r>
          <m:t>0</m:t>
        </m:r>
      </m:oMath>
      <w:r>
        <w:t xml:space="preserve"> </w:t>
      </w:r>
      <w:r>
        <w:t xml:space="preserve">a contained state. Before the public shock, the voter has prior probability</w:t>
      </w:r>
      <w:r>
        <w:t xml:space="preserve"> </w:t>
      </w:r>
      <m:oMath>
        <m:sSub>
          <m:e>
            <m:r>
              <m:t>π</m:t>
            </m:r>
          </m:e>
          <m:sub>
            <m:r>
              <m:t>0</m:t>
            </m:r>
          </m:sub>
        </m:sSub>
        <m:r>
          <m:rPr>
            <m:sty m:val="p"/>
          </m:rPr>
          <m:t>=</m:t>
        </m:r>
        <m:r>
          <m:rPr>
            <m:sty m:val="p"/>
          </m:rPr>
          <m:t>Pr</m:t>
        </m:r>
        <m:r>
          <m:rPr>
            <m:sty m:val="p"/>
          </m:rPr>
          <m:t>(</m:t>
        </m:r>
        <m:r>
          <m:t>θ</m:t>
        </m:r>
        <m:r>
          <m:rPr>
            <m:sty m:val="p"/>
          </m:rPr>
          <m:t>=</m:t>
        </m:r>
        <m:r>
          <m:t>1</m:t>
        </m:r>
        <m:r>
          <m:rPr>
            <m:sty m:val="p"/>
          </m:rPr>
          <m:t>)</m:t>
        </m:r>
      </m:oMath>
      <w:r>
        <w:t xml:space="preserve">.</w:t>
      </w:r>
    </w:p>
    <w:p>
      <w:pPr>
        <w:pStyle w:val="BodyText"/>
      </w:pPr>
      <w:r>
        <w:t xml:space="preserve">The timing is: (i) nature draws</w:t>
      </w:r>
      <w:r>
        <w:t xml:space="preserve"> </w:t>
      </w:r>
      <m:oMath>
        <m:r>
          <m:t>θ</m:t>
        </m:r>
      </m:oMath>
      <w:r>
        <w:t xml:space="preserve">; (ii) the Ceuta shock</w:t>
      </w:r>
      <w:r>
        <w:t xml:space="preserve"> </w:t>
      </w:r>
      <m:oMath>
        <m:sSub>
          <m:e>
            <m:r>
              <m:t>x</m:t>
            </m:r>
          </m:e>
          <m:sub>
            <m:r>
              <m:t>C</m:t>
            </m:r>
          </m:sub>
        </m:sSub>
      </m:oMath>
      <w:r>
        <w:t xml:space="preserve"> </w:t>
      </w:r>
      <w:r>
        <w:t xml:space="preserve">becomes public; (iii) the Italian government chooses an action</w:t>
      </w:r>
      <w:r>
        <w:t xml:space="preserve"> </w:t>
      </w:r>
      <m:oMath>
        <m:sSub>
          <m:e>
            <m:r>
              <m:t>a</m:t>
            </m:r>
          </m:e>
          <m:sub>
            <m:r>
              <m:t>G</m:t>
            </m:r>
          </m:sub>
        </m:sSub>
      </m:oMath>
      <w:r>
        <w:t xml:space="preserve">; (iv) Spain sends a message</w:t>
      </w:r>
      <w:r>
        <w:t xml:space="preserve"> </w:t>
      </w:r>
      <m:oMath>
        <m:sSub>
          <m:e>
            <m:r>
              <m:t>m</m:t>
            </m:r>
          </m:e>
          <m:sub>
            <m:r>
              <m:t>S</m:t>
            </m:r>
          </m:sub>
        </m:sSub>
      </m:oMath>
      <w:r>
        <w:t xml:space="preserve">; (v) European institutions and other governments generate a public-response vector</w:t>
      </w:r>
      <w:r>
        <w:t xml:space="preserve"> </w:t>
      </w:r>
      <m:oMath>
        <m:r>
          <m:t>K</m:t>
        </m:r>
      </m:oMath>
      <w:r>
        <w:t xml:space="preserve">; (vi) the voter updates beliefs and votes.</w:t>
      </w:r>
    </w:p>
    <w:p>
      <w:pPr>
        <w:pStyle w:val="BodyText"/>
      </w:pPr>
      <m:oMathPara>
        <m:oMathParaPr>
          <m:jc m:val="center"/>
        </m:oMathParaPr>
        <m:oMath>
          <m:r>
            <m:rPr>
              <m:sty m:val="p"/>
            </m:rPr>
            <m:t>Γ</m:t>
          </m:r>
          <m:r>
            <m:rPr>
              <m:sty m:val="p"/>
            </m:rPr>
            <m:t>=</m:t>
          </m:r>
          <m:r>
            <m:rPr>
              <m:sty m:val="p"/>
            </m:rPr>
            <m:t>(</m:t>
          </m:r>
          <m:r>
            <m:t>N</m:t>
          </m:r>
          <m:r>
            <m:rPr>
              <m:sty m:val="p"/>
            </m:rPr>
            <m:t>,</m:t>
          </m:r>
          <m:r>
            <m:rPr>
              <m:sty m:val="p"/>
            </m:rPr>
            <m:t>Θ</m:t>
          </m:r>
          <m:r>
            <m:rPr>
              <m:sty m:val="p"/>
            </m:rPr>
            <m:t>,</m:t>
          </m:r>
          <m:r>
            <m:t>A</m:t>
          </m:r>
          <m:r>
            <m:rPr>
              <m:sty m:val="p"/>
            </m:rPr>
            <m:t>,</m:t>
          </m:r>
          <m:r>
            <m:t>P</m:t>
          </m:r>
          <m:r>
            <m:rPr>
              <m:sty m:val="p"/>
            </m:rPr>
            <m:t>,</m:t>
          </m:r>
          <m:r>
            <m:t>U</m:t>
          </m:r>
          <m:r>
            <m:rPr>
              <m:sty m:val="p"/>
            </m:rPr>
            <m:t>)</m:t>
          </m:r>
          <m:r>
            <m:rPr>
              <m:sty m:val="p"/>
            </m:rPr>
            <m:t>,</m:t>
          </m:r>
          <m:r>
            <m:t> </m:t>
          </m:r>
          <m:r>
            <m:t>N</m:t>
          </m:r>
          <m:r>
            <m:rPr>
              <m:sty m:val="p"/>
            </m:rPr>
            <m:t>=</m:t>
          </m:r>
          <m:r>
            <m:rPr>
              <m:sty m:val="p"/>
            </m:rPr>
            <m:t>{</m:t>
          </m:r>
          <m:r>
            <m:t>G</m:t>
          </m:r>
          <m:r>
            <m:rPr>
              <m:sty m:val="p"/>
            </m:rPr>
            <m:t>,</m:t>
          </m:r>
          <m:r>
            <m:t>S</m:t>
          </m:r>
          <m:r>
            <m:rPr>
              <m:sty m:val="p"/>
            </m:rPr>
            <m:t>,</m:t>
          </m:r>
          <m:r>
            <m:t>V</m:t>
          </m:r>
          <m:r>
            <m:rPr>
              <m:sty m:val="p"/>
            </m:rPr>
            <m:t>}</m:t>
          </m:r>
          <m:r>
            <m:rPr>
              <m:sty m:val="p"/>
            </m:rPr>
            <m:t>,</m:t>
          </m:r>
          <m:r>
            <m:t> </m:t>
          </m:r>
          <m:r>
            <m:rPr>
              <m:sty m:val="p"/>
            </m:rPr>
            <m:t>Θ</m:t>
          </m:r>
          <m:r>
            <m:rPr>
              <m:sty m:val="p"/>
            </m:rPr>
            <m:t>=</m:t>
          </m:r>
          <m:r>
            <m:rPr>
              <m:sty m:val="p"/>
            </m:rPr>
            <m:t>{</m:t>
          </m:r>
          <m:r>
            <m:t>0</m:t>
          </m:r>
          <m:r>
            <m:rPr>
              <m:sty m:val="p"/>
            </m:rPr>
            <m:t>,</m:t>
          </m:r>
          <m:r>
            <m:t>1</m:t>
          </m:r>
          <m:r>
            <m:rPr>
              <m:sty m:val="p"/>
            </m:rPr>
            <m:t>}</m:t>
          </m:r>
          <m:r>
            <m:rPr>
              <m:sty m:val="p"/>
            </m:rPr>
            <m:t>.</m:t>
          </m:r>
          <m:r>
            <m:t> </m:t>
          </m:r>
          <m:r>
            <m:rPr>
              <m:sty m:val="p"/>
            </m:rPr>
            <m:t>(</m:t>
          </m:r>
          <m:r>
            <m:t>5</m:t>
          </m:r>
          <m:r>
            <m:rPr>
              <m:sty m:val="p"/>
            </m:rPr>
            <m:t>)</m:t>
          </m:r>
        </m:oMath>
      </m:oMathPara>
    </w:p>
    <w:p>
      <w:pPr>
        <w:pStyle w:val="FirstParagraph"/>
      </w:pPr>
      <w:r>
        <w:rPr>
          <w:b/>
          <w:bCs/>
        </w:rPr>
        <w:t xml:space="preserve">Assumption A1 (Common prior).</w:t>
      </w:r>
      <w:r>
        <w:t xml:space="preserve"> </w:t>
      </w:r>
      <w:r>
        <w:t xml:space="preserve">All players begin from a common prior</w:t>
      </w:r>
      <w:r>
        <w:t xml:space="preserve"> </w:t>
      </w:r>
      <m:oMath>
        <m:sSub>
          <m:e>
            <m:r>
              <m:t>π</m:t>
            </m:r>
          </m:e>
          <m:sub>
            <m:r>
              <m:t>0</m:t>
            </m:r>
          </m:sub>
        </m:sSub>
      </m:oMath>
      <w:r>
        <w:t xml:space="preserve">, but they may process public information with different attention and salience parameters.</w:t>
      </w:r>
    </w:p>
    <w:p>
      <w:pPr>
        <w:pStyle w:val="BodyText"/>
      </w:pPr>
      <w:r>
        <w:rPr>
          <w:b/>
          <w:bCs/>
        </w:rPr>
        <w:t xml:space="preserve">Assumption A2 (Governmental action set).</w:t>
      </w:r>
      <w:r>
        <w:t xml:space="preserve"> </w:t>
      </w:r>
      <w:r>
        <w:t xml:space="preserve">The Italian government selects</w:t>
      </w:r>
      <w:r>
        <w:t xml:space="preserve"> </w:t>
      </w:r>
      <m:oMath>
        <m:sSub>
          <m:e>
            <m:r>
              <m:t>a</m:t>
            </m:r>
          </m:e>
          <m:sub>
            <m:r>
              <m:t>G</m:t>
            </m:r>
          </m:sub>
        </m:sSub>
        <m:r>
          <m:rPr>
            <m:sty m:val="p"/>
          </m:rPr>
          <m:t>∈</m:t>
        </m:r>
        <m:r>
          <m:rPr>
            <m:sty m:val="p"/>
          </m:rPr>
          <m:t>{</m:t>
        </m:r>
        <m:r>
          <m:t>N</m:t>
        </m:r>
        <m:r>
          <m:rPr>
            <m:sty m:val="p"/>
          </m:rPr>
          <m:t>,</m:t>
        </m:r>
        <m:r>
          <m:t>C</m:t>
        </m:r>
        <m:r>
          <m:rPr>
            <m:sty m:val="p"/>
          </m:rPr>
          <m:t>,</m:t>
        </m:r>
        <m:r>
          <m:t>E</m:t>
        </m:r>
        <m:r>
          <m:rPr>
            <m:sty m:val="p"/>
          </m:rPr>
          <m:t>}</m:t>
        </m:r>
      </m:oMath>
      <w:r>
        <w:t xml:space="preserve">: no exceptional action, selective controls, or broader European escalation.</w:t>
      </w:r>
    </w:p>
    <w:p>
      <w:pPr>
        <w:pStyle w:val="BodyText"/>
      </w:pPr>
      <w:r>
        <w:rPr>
          <w:b/>
          <w:bCs/>
        </w:rPr>
        <w:t xml:space="preserve">Assumption A3 (Spanish message set).</w:t>
      </w:r>
      <w:r>
        <w:t xml:space="preserve"> </w:t>
      </w:r>
      <w:r>
        <w:t xml:space="preserve">Spain selects</w:t>
      </w:r>
      <w:r>
        <w:t xml:space="preserve"> </w:t>
      </w:r>
      <m:oMath>
        <m:sSub>
          <m:e>
            <m:r>
              <m:t>m</m:t>
            </m:r>
          </m:e>
          <m:sub>
            <m:r>
              <m:t>S</m:t>
            </m:r>
          </m:sub>
        </m:sSub>
        <m:r>
          <m:rPr>
            <m:sty m:val="p"/>
          </m:rPr>
          <m:t>∈</m:t>
        </m:r>
        <m:r>
          <m:rPr>
            <m:sty m:val="p"/>
          </m:rPr>
          <m:t>{</m:t>
        </m:r>
        <m:r>
          <m:t>D</m:t>
        </m:r>
        <m:r>
          <m:rPr>
            <m:sty m:val="p"/>
          </m:rPr>
          <m:t>,</m:t>
        </m:r>
        <m:r>
          <m:t>R</m:t>
        </m:r>
        <m:r>
          <m:rPr>
            <m:sty m:val="p"/>
          </m:rPr>
          <m:t>,</m:t>
        </m:r>
        <m:r>
          <m:t>A</m:t>
        </m:r>
        <m:r>
          <m:rPr>
            <m:sty m:val="p"/>
          </m:rPr>
          <m:t>}</m:t>
        </m:r>
      </m:oMath>
      <w:r>
        <w:t xml:space="preserve">: data-based rebuttal, operational reassurance, or accusation of political exploitation.</w:t>
      </w:r>
    </w:p>
    <w:p>
      <w:pPr>
        <w:pStyle w:val="BodyText"/>
      </w:pPr>
      <w:r>
        <w:rPr>
          <w:b/>
          <w:bCs/>
        </w:rPr>
        <w:t xml:space="preserve">Assumption A4 (Voting).</w:t>
      </w:r>
      <w:r>
        <w:t xml:space="preserve"> </w:t>
      </w:r>
      <w:r>
        <w:t xml:space="preserve">The voter chooses</w:t>
      </w:r>
      <w:r>
        <w:t xml:space="preserve"> </w:t>
      </w:r>
      <m:oMath>
        <m:r>
          <m:t>v</m:t>
        </m:r>
        <m:r>
          <m:rPr>
            <m:sty m:val="p"/>
          </m:rPr>
          <m:t>∈</m:t>
        </m:r>
        <m:r>
          <m:rPr>
            <m:sty m:val="p"/>
          </m:rPr>
          <m:t>{</m:t>
        </m:r>
        <m:r>
          <m:t>M</m:t>
        </m:r>
        <m:r>
          <m:rPr>
            <m:sty m:val="p"/>
          </m:rPr>
          <m:t>,</m:t>
        </m:r>
        <m:r>
          <m:t>O</m:t>
        </m:r>
        <m:r>
          <m:rPr>
            <m:sty m:val="p"/>
          </m:rPr>
          <m:t>}</m:t>
        </m:r>
      </m:oMath>
      <w:r>
        <w:t xml:space="preserve">, where</w:t>
      </w:r>
      <w:r>
        <w:t xml:space="preserve"> </w:t>
      </w:r>
      <m:oMath>
        <m:r>
          <m:t>M</m:t>
        </m:r>
      </m:oMath>
      <w:r>
        <w:t xml:space="preserve"> </w:t>
      </w:r>
      <w:r>
        <w:t xml:space="preserve">denotes support for Meloni’s coalition and</w:t>
      </w:r>
      <w:r>
        <w:t xml:space="preserve"> </w:t>
      </w:r>
      <m:oMath>
        <m:r>
          <m:t>O</m:t>
        </m:r>
      </m:oMath>
      <w:r>
        <w:t xml:space="preserve"> </w:t>
      </w:r>
      <w:r>
        <w:t xml:space="preserve">the relevant opposition alternative.</w:t>
      </w:r>
    </w:p>
    <w:p>
      <w:pPr>
        <w:pStyle w:val="BodyText"/>
      </w:pPr>
      <w:r>
        <w:rPr>
          <w:b/>
          <w:bCs/>
        </w:rPr>
        <w:t xml:space="preserve">Assumption A5 (Issue advantage).</w:t>
      </w:r>
      <w:r>
        <w:t xml:space="preserve"> </w:t>
      </w:r>
      <w:r>
        <w:t xml:space="preserve">Conditional on migration security being salient, the voter weakly prefers Meloni’s coalition:</w:t>
      </w:r>
      <w:r>
        <w:t xml:space="preserve"> </w:t>
      </w:r>
      <m:oMath>
        <m:r>
          <m:rPr>
            <m:sty m:val="p"/>
          </m:rPr>
          <m:t>Δ</m:t>
        </m:r>
        <m:sSub>
          <m:e>
            <m:r>
              <m:t>u</m:t>
            </m:r>
          </m:e>
          <m:sub>
            <m:r>
              <m:t>m</m:t>
            </m:r>
          </m:sub>
        </m:sSub>
        <m:r>
          <m:rPr>
            <m:sty m:val="p"/>
          </m:rPr>
          <m:t>(</m:t>
        </m:r>
        <m:r>
          <m:t>π</m:t>
        </m:r>
        <m:r>
          <m:rPr>
            <m:sty m:val="p"/>
          </m:rPr>
          <m:t>)</m:t>
        </m:r>
        <m:r>
          <m:rPr>
            <m:sty m:val="p"/>
          </m:rPr>
          <m:t>=</m:t>
        </m:r>
        <m:sSub>
          <m:e>
            <m:r>
              <m:t>u</m:t>
            </m:r>
          </m:e>
          <m:sub>
            <m:r>
              <m:t>m</m:t>
            </m:r>
          </m:sub>
        </m:sSub>
        <m:r>
          <m:rPr>
            <m:sty m:val="p"/>
          </m:rPr>
          <m:t>(</m:t>
        </m:r>
        <m:r>
          <m:t>M</m:t>
        </m:r>
        <m:r>
          <m:rPr>
            <m:sty m:val="p"/>
          </m:rPr>
          <m:t>,</m:t>
        </m:r>
        <m:r>
          <m:t>π</m:t>
        </m:r>
        <m:r>
          <m:rPr>
            <m:sty m:val="p"/>
          </m:rPr>
          <m:t>)</m:t>
        </m:r>
        <m:r>
          <m:rPr>
            <m:sty m:val="p"/>
          </m:rPr>
          <m:t>−</m:t>
        </m:r>
        <m:sSub>
          <m:e>
            <m:r>
              <m:t>u</m:t>
            </m:r>
          </m:e>
          <m:sub>
            <m:r>
              <m:t>m</m:t>
            </m:r>
          </m:sub>
        </m:sSub>
        <m:r>
          <m:rPr>
            <m:sty m:val="p"/>
          </m:rPr>
          <m:t>(</m:t>
        </m:r>
        <m:r>
          <m:t>O</m:t>
        </m:r>
        <m:r>
          <m:rPr>
            <m:sty m:val="p"/>
          </m:rPr>
          <m:t>,</m:t>
        </m:r>
        <m:r>
          <m:t>π</m:t>
        </m:r>
        <m:r>
          <m:rPr>
            <m:sty m:val="p"/>
          </m:rPr>
          <m:t>)</m:t>
        </m:r>
      </m:oMath>
      <w:r>
        <w:t xml:space="preserve"> </w:t>
      </w:r>
      <w:r>
        <w:t xml:space="preserve">is non-decreasing in perceived risk</w:t>
      </w:r>
      <w:r>
        <w:t xml:space="preserve"> </w:t>
      </w:r>
      <m:oMath>
        <m:r>
          <m:t>π</m:t>
        </m:r>
      </m:oMath>
      <w:r>
        <w:t xml:space="preserve">.</w:t>
      </w:r>
    </w:p>
    <w:bookmarkEnd w:id="15"/>
    <w:bookmarkStart w:id="16" w:name="objective-and-perceived-posteriors"/>
    <w:p>
      <w:pPr>
        <w:pStyle w:val="Heading3"/>
      </w:pPr>
      <w:r>
        <w:t xml:space="preserve">4.2. Objective and perceived posteriors</w:t>
      </w:r>
    </w:p>
    <w:p>
      <w:pPr>
        <w:pStyle w:val="FirstParagraph"/>
      </w:pPr>
      <w:r>
        <w:t xml:space="preserve">The objective Bayesian posterior following the event is:</w:t>
      </w:r>
    </w:p>
    <w:p>
      <w:pPr>
        <w:pStyle w:val="BodyText"/>
      </w:pPr>
      <m:oMathPara>
        <m:oMathParaPr>
          <m:jc m:val="center"/>
        </m:oMathParaPr>
        <m:oMath>
          <m:sSub>
            <m:e>
              <m:r>
                <m:t>π</m:t>
              </m:r>
            </m:e>
            <m:sub>
              <m:r>
                <m:t>1</m:t>
              </m:r>
            </m:sub>
          </m:sSub>
          <m:r>
            <m:rPr>
              <m:sty m:val="p"/>
            </m:rPr>
            <m:t>=</m:t>
          </m:r>
          <m:r>
            <m:rPr>
              <m:sty m:val="p"/>
            </m:rPr>
            <m:t>Pr</m:t>
          </m:r>
          <m:r>
            <m:rPr>
              <m:sty m:val="p"/>
            </m:rPr>
            <m:t>(</m:t>
          </m:r>
          <m:r>
            <m:t>θ</m:t>
          </m:r>
          <m:r>
            <m:rPr>
              <m:sty m:val="p"/>
            </m:rPr>
            <m:t>=</m:t>
          </m:r>
          <m:r>
            <m:t>1</m:t>
          </m:r>
          <m:r>
            <m:rPr>
              <m:sty m:val="p"/>
            </m:rPr>
            <m:t>∣</m:t>
          </m:r>
          <m:sSub>
            <m:e>
              <m:r>
                <m:t>x</m:t>
              </m:r>
            </m:e>
            <m:sub>
              <m:r>
                <m:t>C</m:t>
              </m:r>
            </m:sub>
          </m:sSub>
          <m:r>
            <m:rPr>
              <m:sty m:val="p"/>
            </m:rPr>
            <m:t>)</m:t>
          </m:r>
          <m:r>
            <m:rPr>
              <m:sty m:val="p"/>
            </m:rPr>
            <m:t>=</m:t>
          </m:r>
          <m:f>
            <m:fPr>
              <m:type m:val="bar"/>
            </m:fPr>
            <m:num>
              <m:r>
                <m:rPr>
                  <m:sty m:val="p"/>
                </m:rPr>
                <m:t>Pr</m:t>
              </m:r>
              <m:r>
                <m:rPr>
                  <m:sty m:val="p"/>
                </m:rPr>
                <m:t>(</m:t>
              </m:r>
              <m:sSub>
                <m:e>
                  <m:r>
                    <m:t>x</m:t>
                  </m:r>
                </m:e>
                <m:sub>
                  <m:r>
                    <m:t>C</m:t>
                  </m:r>
                </m:sub>
              </m:sSub>
              <m:r>
                <m:rPr>
                  <m:sty m:val="p"/>
                </m:rPr>
                <m:t>∣</m:t>
              </m:r>
              <m:r>
                <m:t>θ</m:t>
              </m:r>
              <m:r>
                <m:rPr>
                  <m:sty m:val="p"/>
                </m:rPr>
                <m:t>=</m:t>
              </m:r>
              <m:r>
                <m:t>1</m:t>
              </m:r>
              <m:r>
                <m:rPr>
                  <m:sty m:val="p"/>
                </m:rPr>
                <m:t>)</m:t>
              </m:r>
              <m:sSub>
                <m:e>
                  <m:r>
                    <m:t>π</m:t>
                  </m:r>
                </m:e>
                <m:sub>
                  <m:r>
                    <m:t>0</m:t>
                  </m:r>
                </m:sub>
              </m:sSub>
            </m:num>
            <m:den>
              <m:r>
                <m:rPr>
                  <m:sty m:val="p"/>
                </m:rPr>
                <m:t>Pr</m:t>
              </m:r>
              <m:r>
                <m:rPr>
                  <m:sty m:val="p"/>
                </m:rPr>
                <m:t>(</m:t>
              </m:r>
              <m:sSub>
                <m:e>
                  <m:r>
                    <m:t>x</m:t>
                  </m:r>
                </m:e>
                <m:sub>
                  <m:r>
                    <m:t>C</m:t>
                  </m:r>
                </m:sub>
              </m:sSub>
              <m:r>
                <m:rPr>
                  <m:sty m:val="p"/>
                </m:rPr>
                <m:t>∣</m:t>
              </m:r>
              <m:r>
                <m:t>θ</m:t>
              </m:r>
              <m:r>
                <m:rPr>
                  <m:sty m:val="p"/>
                </m:rPr>
                <m:t>=</m:t>
              </m:r>
              <m:r>
                <m:t>1</m:t>
              </m:r>
              <m:r>
                <m:rPr>
                  <m:sty m:val="p"/>
                </m:rPr>
                <m:t>)</m:t>
              </m:r>
              <m:sSub>
                <m:e>
                  <m:r>
                    <m:t>π</m:t>
                  </m:r>
                </m:e>
                <m:sub>
                  <m:r>
                    <m:t>0</m:t>
                  </m:r>
                </m:sub>
              </m:sSub>
              <m:r>
                <m:rPr>
                  <m:sty m:val="p"/>
                </m:rPr>
                <m:t>+</m:t>
              </m:r>
              <m:r>
                <m:rPr>
                  <m:sty m:val="p"/>
                </m:rPr>
                <m:t>Pr</m:t>
              </m:r>
              <m:r>
                <m:rPr>
                  <m:sty m:val="p"/>
                </m:rPr>
                <m:t>(</m:t>
              </m:r>
              <m:sSub>
                <m:e>
                  <m:r>
                    <m:t>x</m:t>
                  </m:r>
                </m:e>
                <m:sub>
                  <m:r>
                    <m:t>C</m:t>
                  </m:r>
                </m:sub>
              </m:sSub>
              <m:r>
                <m:rPr>
                  <m:sty m:val="p"/>
                </m:rPr>
                <m:t>∣</m:t>
              </m:r>
              <m:r>
                <m:t>θ</m:t>
              </m:r>
              <m:r>
                <m:rPr>
                  <m:sty m:val="p"/>
                </m:rPr>
                <m:t>=</m:t>
              </m:r>
              <m:r>
                <m:t>0</m:t>
              </m:r>
              <m:r>
                <m:rPr>
                  <m:sty m:val="p"/>
                </m:rPr>
                <m:t>)</m:t>
              </m:r>
              <m:r>
                <m:rPr>
                  <m:sty m:val="p"/>
                </m:rPr>
                <m:t>(</m:t>
              </m:r>
              <m:r>
                <m:t>1</m:t>
              </m:r>
              <m:r>
                <m:rPr>
                  <m:sty m:val="p"/>
                </m:rPr>
                <m:t>−</m:t>
              </m:r>
              <m:sSub>
                <m:e>
                  <m:r>
                    <m:t>π</m:t>
                  </m:r>
                </m:e>
                <m:sub>
                  <m:r>
                    <m:t>0</m:t>
                  </m:r>
                </m:sub>
              </m:sSub>
              <m:r>
                <m:rPr>
                  <m:sty m:val="p"/>
                </m:rPr>
                <m:t>)</m:t>
              </m:r>
            </m:den>
          </m:f>
          <m:r>
            <m:rPr>
              <m:sty m:val="p"/>
            </m:rPr>
            <m:t>.</m:t>
          </m:r>
          <m:r>
            <m:t> </m:t>
          </m:r>
          <m:r>
            <m:rPr>
              <m:sty m:val="p"/>
            </m:rPr>
            <m:t>(</m:t>
          </m:r>
          <m:r>
            <m:t>6</m:t>
          </m:r>
          <m:r>
            <m:rPr>
              <m:sty m:val="p"/>
            </m:rPr>
            <m:t>)</m:t>
          </m:r>
        </m:oMath>
      </m:oMathPara>
    </w:p>
    <w:p>
      <w:pPr>
        <w:pStyle w:val="FirstParagraph"/>
      </w:pPr>
      <m:oMathPara>
        <m:oMathParaPr>
          <m:jc m:val="center"/>
        </m:oMathParaPr>
        <m:oMath>
          <m:f>
            <m:fPr>
              <m:type m:val="bar"/>
            </m:fPr>
            <m:num>
              <m:sSub>
                <m:e>
                  <m:r>
                    <m:t>π</m:t>
                  </m:r>
                </m:e>
                <m:sub>
                  <m:r>
                    <m:t>1</m:t>
                  </m:r>
                </m:sub>
              </m:sSub>
            </m:num>
            <m:den>
              <m:r>
                <m:t>1</m:t>
              </m:r>
              <m:r>
                <m:rPr>
                  <m:sty m:val="p"/>
                </m:rPr>
                <m:t>−</m:t>
              </m:r>
              <m:sSub>
                <m:e>
                  <m:r>
                    <m:t>π</m:t>
                  </m:r>
                </m:e>
                <m:sub>
                  <m:r>
                    <m:t>1</m:t>
                  </m:r>
                </m:sub>
              </m:sSub>
            </m:den>
          </m:f>
          <m:r>
            <m:rPr>
              <m:sty m:val="p"/>
            </m:rPr>
            <m:t>=</m:t>
          </m:r>
          <m:f>
            <m:fPr>
              <m:type m:val="bar"/>
            </m:fPr>
            <m:num>
              <m:sSub>
                <m:e>
                  <m:r>
                    <m:t>π</m:t>
                  </m:r>
                </m:e>
                <m:sub>
                  <m:r>
                    <m:t>0</m:t>
                  </m:r>
                </m:sub>
              </m:sSub>
            </m:num>
            <m:den>
              <m:r>
                <m:t>1</m:t>
              </m:r>
              <m:r>
                <m:rPr>
                  <m:sty m:val="p"/>
                </m:rPr>
                <m:t>−</m:t>
              </m:r>
              <m:sSub>
                <m:e>
                  <m:r>
                    <m:t>π</m:t>
                  </m:r>
                </m:e>
                <m:sub>
                  <m:r>
                    <m:t>0</m:t>
                  </m:r>
                </m:sub>
              </m:sSub>
            </m:den>
          </m:f>
          <m:r>
            <m:rPr>
              <m:sty m:val="p"/>
            </m:rPr>
            <m:t>Λ</m:t>
          </m:r>
          <m:r>
            <m:rPr>
              <m:sty m:val="p"/>
            </m:rPr>
            <m:t>(</m:t>
          </m:r>
          <m:sSub>
            <m:e>
              <m:r>
                <m:t>x</m:t>
              </m:r>
            </m:e>
            <m:sub>
              <m:r>
                <m:t>C</m:t>
              </m:r>
            </m:sub>
          </m:sSub>
          <m:r>
            <m:rPr>
              <m:sty m:val="p"/>
            </m:rPr>
            <m:t>)</m:t>
          </m:r>
          <m:r>
            <m:rPr>
              <m:sty m:val="p"/>
            </m:rPr>
            <m:t>,</m:t>
          </m:r>
          <m:r>
            <m:t> </m:t>
          </m:r>
          <m:r>
            <m:rPr>
              <m:sty m:val="p"/>
            </m:rPr>
            <m:t>(</m:t>
          </m:r>
          <m:r>
            <m:t>7</m:t>
          </m:r>
          <m:r>
            <m:rPr>
              <m:sty m:val="p"/>
            </m:rPr>
            <m:t>)</m:t>
          </m:r>
        </m:oMath>
      </m:oMathPara>
    </w:p>
    <w:p>
      <w:pPr>
        <w:pStyle w:val="FirstParagraph"/>
      </w:pPr>
      <m:oMathPara>
        <m:oMathParaPr>
          <m:jc m:val="center"/>
        </m:oMathParaPr>
        <m:oMath>
          <m:r>
            <m:rPr>
              <m:sty m:val="p"/>
            </m:rPr>
            <m:t>Λ</m:t>
          </m:r>
          <m:r>
            <m:rPr>
              <m:sty m:val="p"/>
            </m:rPr>
            <m:t>(</m:t>
          </m:r>
          <m:sSub>
            <m:e>
              <m:r>
                <m:t>x</m:t>
              </m:r>
            </m:e>
            <m:sub>
              <m:r>
                <m:t>C</m:t>
              </m:r>
            </m:sub>
          </m:sSub>
          <m:r>
            <m:rPr>
              <m:sty m:val="p"/>
            </m:rPr>
            <m:t>)</m:t>
          </m:r>
          <m:r>
            <m:rPr>
              <m:sty m:val="p"/>
            </m:rPr>
            <m:t>=</m:t>
          </m:r>
          <m:f>
            <m:fPr>
              <m:type m:val="bar"/>
            </m:fPr>
            <m:num>
              <m:r>
                <m:rPr>
                  <m:sty m:val="p"/>
                </m:rPr>
                <m:t>Pr</m:t>
              </m:r>
              <m:r>
                <m:rPr>
                  <m:sty m:val="p"/>
                </m:rPr>
                <m:t>(</m:t>
              </m:r>
              <m:sSub>
                <m:e>
                  <m:r>
                    <m:t>x</m:t>
                  </m:r>
                </m:e>
                <m:sub>
                  <m:r>
                    <m:t>C</m:t>
                  </m:r>
                </m:sub>
              </m:sSub>
              <m:r>
                <m:rPr>
                  <m:sty m:val="p"/>
                </m:rPr>
                <m:t>∣</m:t>
              </m:r>
              <m:r>
                <m:t>θ</m:t>
              </m:r>
              <m:r>
                <m:rPr>
                  <m:sty m:val="p"/>
                </m:rPr>
                <m:t>=</m:t>
              </m:r>
              <m:r>
                <m:t>1</m:t>
              </m:r>
              <m:r>
                <m:rPr>
                  <m:sty m:val="p"/>
                </m:rPr>
                <m:t>)</m:t>
              </m:r>
            </m:num>
            <m:den>
              <m:r>
                <m:rPr>
                  <m:sty m:val="p"/>
                </m:rPr>
                <m:t>Pr</m:t>
              </m:r>
              <m:r>
                <m:rPr>
                  <m:sty m:val="p"/>
                </m:rPr>
                <m:t>(</m:t>
              </m:r>
              <m:sSub>
                <m:e>
                  <m:r>
                    <m:t>x</m:t>
                  </m:r>
                </m:e>
                <m:sub>
                  <m:r>
                    <m:t>C</m:t>
                  </m:r>
                </m:sub>
              </m:sSub>
              <m:r>
                <m:rPr>
                  <m:sty m:val="p"/>
                </m:rPr>
                <m:t>∣</m:t>
              </m:r>
              <m:r>
                <m:t>θ</m:t>
              </m:r>
              <m:r>
                <m:rPr>
                  <m:sty m:val="p"/>
                </m:rPr>
                <m:t>=</m:t>
              </m:r>
              <m:r>
                <m:t>0</m:t>
              </m:r>
              <m:r>
                <m:rPr>
                  <m:sty m:val="p"/>
                </m:rPr>
                <m:t>)</m:t>
              </m:r>
            </m:den>
          </m:f>
          <m:r>
            <m:rPr>
              <m:sty m:val="p"/>
            </m:rPr>
            <m:t>.</m:t>
          </m:r>
          <m:r>
            <m:t> </m:t>
          </m:r>
          <m:r>
            <m:rPr>
              <m:sty m:val="p"/>
            </m:rPr>
            <m:t>(</m:t>
          </m:r>
          <m:r>
            <m:t>8</m:t>
          </m:r>
          <m:r>
            <m:rPr>
              <m:sty m:val="p"/>
            </m:rPr>
            <m:t>)</m:t>
          </m:r>
        </m:oMath>
      </m:oMathPara>
    </w:p>
    <w:p>
      <w:pPr>
        <w:pStyle w:val="FirstParagraph"/>
      </w:pPr>
      <w:r>
        <w:t xml:space="preserve">The voter does not necessarily act on</w:t>
      </w:r>
      <w:r>
        <w:t xml:space="preserve"> </w:t>
      </w:r>
      <m:oMath>
        <m:sSub>
          <m:e>
            <m:r>
              <m:t>π</m:t>
            </m:r>
          </m:e>
          <m:sub>
            <m:r>
              <m:t>1</m:t>
            </m:r>
          </m:sub>
        </m:sSub>
      </m:oMath>
      <w:r>
        <w:t xml:space="preserve">. Let</w:t>
      </w:r>
      <w:r>
        <w:t xml:space="preserve"> </w:t>
      </w:r>
      <m:oMath>
        <m:sSub>
          <m:e>
            <m:acc>
              <m:accPr>
                <m:chr m:val="̃"/>
              </m:accPr>
              <m:e>
                <m:r>
                  <m:t>π</m:t>
                </m:r>
              </m:e>
            </m:acc>
          </m:e>
          <m:sub>
            <m:r>
              <m:t>1</m:t>
            </m:r>
          </m:sub>
        </m:sSub>
      </m:oMath>
      <w:r>
        <w:t xml:space="preserve"> </w:t>
      </w:r>
      <w:r>
        <w:t xml:space="preserve">denote the behaviourally and politically mediated posterior. The electoral outcome is generated by</w:t>
      </w:r>
      <w:r>
        <w:t xml:space="preserve"> </w:t>
      </w:r>
      <m:oMath>
        <m:sSub>
          <m:e>
            <m:acc>
              <m:accPr>
                <m:chr m:val="̃"/>
              </m:accPr>
              <m:e>
                <m:r>
                  <m:t>π</m:t>
                </m:r>
              </m:e>
            </m:acc>
          </m:e>
          <m:sub>
            <m:r>
              <m:t>1</m:t>
            </m:r>
          </m:sub>
        </m:sSub>
      </m:oMath>
      <w:r>
        <w:t xml:space="preserve">, while ex post factual evaluation is generated by</w:t>
      </w:r>
      <w:r>
        <w:t xml:space="preserve"> </w:t>
      </w:r>
      <m:oMath>
        <m:sSub>
          <m:e>
            <m:r>
              <m:t>π</m:t>
            </m:r>
          </m:e>
          <m:sub>
            <m:r>
              <m:t>1</m:t>
            </m:r>
          </m:sub>
        </m:sSub>
      </m:oMath>
      <w:r>
        <w:t xml:space="preserve">. The central wedge is therefore</w:t>
      </w:r>
      <w:r>
        <w:t xml:space="preserve"> </w:t>
      </w:r>
      <m:oMath>
        <m:r>
          <m:t>ω</m:t>
        </m:r>
        <m:r>
          <m:rPr>
            <m:sty m:val="p"/>
          </m:rPr>
          <m:t>=</m:t>
        </m:r>
        <m:sSub>
          <m:e>
            <m:acc>
              <m:accPr>
                <m:chr m:val="̃"/>
              </m:accPr>
              <m:e>
                <m:r>
                  <m:t>π</m:t>
                </m:r>
              </m:e>
            </m:acc>
          </m:e>
          <m:sub>
            <m:r>
              <m:t>1</m:t>
            </m:r>
          </m:sub>
        </m:sSub>
        <m:r>
          <m:rPr>
            <m:sty m:val="p"/>
          </m:rPr>
          <m:t>−</m:t>
        </m:r>
        <m:sSub>
          <m:e>
            <m:r>
              <m:t>π</m:t>
            </m:r>
          </m:e>
          <m:sub>
            <m:r>
              <m:t>1</m:t>
            </m:r>
          </m:sub>
        </m:sSub>
      </m:oMath>
      <w:r>
        <w:t xml:space="preserve">.</w:t>
      </w:r>
    </w:p>
    <w:p>
      <w:pPr>
        <w:pStyle w:val="BodyText"/>
      </w:pPr>
      <m:oMathPara>
        <m:oMathParaPr>
          <m:jc m:val="center"/>
        </m:oMathParaPr>
        <m:oMath>
          <m:r>
            <m:t>ω</m:t>
          </m:r>
          <m:r>
            <m:rPr>
              <m:sty m:val="p"/>
            </m:rPr>
            <m:t>≡</m:t>
          </m:r>
          <m:sSub>
            <m:e>
              <m:acc>
                <m:accPr>
                  <m:chr m:val="̃"/>
                </m:accPr>
                <m:e>
                  <m:r>
                    <m:t>π</m:t>
                  </m:r>
                </m:e>
              </m:acc>
            </m:e>
            <m:sub>
              <m:r>
                <m:t>1</m:t>
              </m:r>
            </m:sub>
          </m:sSub>
          <m:r>
            <m:rPr>
              <m:sty m:val="p"/>
            </m:rPr>
            <m:t>−</m:t>
          </m:r>
          <m:sSub>
            <m:e>
              <m:r>
                <m:t>π</m:t>
              </m:r>
            </m:e>
            <m:sub>
              <m:r>
                <m:t>1</m:t>
              </m:r>
            </m:sub>
          </m:sSub>
          <m:r>
            <m:rPr>
              <m:sty m:val="p"/>
            </m:rPr>
            <m:t>.</m:t>
          </m:r>
          <m:r>
            <m:t> </m:t>
          </m:r>
          <m:r>
            <m:rPr>
              <m:sty m:val="p"/>
            </m:rPr>
            <m:t>(</m:t>
          </m:r>
          <m:r>
            <m:t>9</m:t>
          </m:r>
          <m:r>
            <m:rPr>
              <m:sty m:val="p"/>
            </m:rPr>
            <m:t>)</m:t>
          </m:r>
        </m:oMath>
      </m:oMathPara>
    </w:p>
    <w:bookmarkEnd w:id="16"/>
    <w:bookmarkEnd w:id="17"/>
    <w:bookmarkStart w:id="20" w:name="salience-distorted-updating"/>
    <w:p>
      <w:pPr>
        <w:pStyle w:val="Heading2"/>
      </w:pPr>
      <w:r>
        <w:t xml:space="preserve">5. Salience-distorted updating</w:t>
      </w:r>
    </w:p>
    <w:bookmarkStart w:id="18" w:name="log-odds-representation"/>
    <w:p>
      <w:pPr>
        <w:pStyle w:val="Heading3"/>
      </w:pPr>
      <w:r>
        <w:t xml:space="preserve">5.1. Log-odds representation</w:t>
      </w:r>
    </w:p>
    <w:p>
      <w:pPr>
        <w:pStyle w:val="FirstParagraph"/>
      </w:pPr>
      <w:r>
        <w:t xml:space="preserve">Let</w:t>
      </w:r>
      <w:r>
        <w:t xml:space="preserve"> </w:t>
      </w:r>
      <m:oMath>
        <m:sSub>
          <m:e>
            <m:r>
              <m:t>s</m:t>
            </m:r>
          </m:e>
          <m:sub>
            <m:r>
              <m:t>C</m:t>
            </m:r>
          </m:sub>
        </m:sSub>
        <m:r>
          <m:rPr>
            <m:sty m:val="p"/>
          </m:rPr>
          <m:t>≥</m:t>
        </m:r>
        <m:r>
          <m:t>0</m:t>
        </m:r>
      </m:oMath>
      <w:r>
        <w:t xml:space="preserve"> </w:t>
      </w:r>
      <w:r>
        <w:t xml:space="preserve">denote the visual and emotional salience of the Ceuta event. Let</w:t>
      </w:r>
      <w:r>
        <w:t xml:space="preserve"> </w:t>
      </w:r>
      <m:oMath>
        <m:r>
          <m:t>a</m:t>
        </m:r>
        <m:r>
          <m:rPr>
            <m:sty m:val="p"/>
          </m:rPr>
          <m:t>≥</m:t>
        </m:r>
        <m:r>
          <m:t>0</m:t>
        </m:r>
      </m:oMath>
      <w:r>
        <w:t xml:space="preserve"> </w:t>
      </w:r>
      <w:r>
        <w:t xml:space="preserve">measure the observable intensity of the Italian response,</w:t>
      </w:r>
      <w:r>
        <w:t xml:space="preserve"> </w:t>
      </w:r>
      <m:oMath>
        <m:r>
          <m:t>K</m:t>
        </m:r>
        <m:r>
          <m:rPr>
            <m:sty m:val="p"/>
          </m:rPr>
          <m:t>≥</m:t>
        </m:r>
        <m:r>
          <m:t>0</m:t>
        </m:r>
      </m:oMath>
      <w:r>
        <w:t xml:space="preserve"> </w:t>
      </w:r>
      <w:r>
        <w:t xml:space="preserve">the degree of common institutional attention, and</w:t>
      </w:r>
      <w:r>
        <w:t xml:space="preserve"> </w:t>
      </w:r>
      <m:oMath>
        <m:r>
          <m:t>D</m:t>
        </m:r>
        <m:r>
          <m:rPr>
            <m:sty m:val="p"/>
          </m:rPr>
          <m:t>≥</m:t>
        </m:r>
        <m:r>
          <m:t>0</m:t>
        </m:r>
      </m:oMath>
      <w:r>
        <w:t xml:space="preserve"> </w:t>
      </w:r>
      <w:r>
        <w:t xml:space="preserve">the informational force of S</w:t>
      </w:r>
      <w:r>
        <w:t xml:space="preserve">0E1nchez’s data-based rebuttal. The perceived posterior is represented in log-odds form as:</w:t>
      </w:r>
    </w:p>
    <w:p>
      <w:pPr>
        <w:pStyle w:val="BodyText"/>
      </w:pPr>
      <m:oMathPara>
        <m:oMathParaPr>
          <m:jc m:val="center"/>
        </m:oMathParaPr>
        <m:oMath>
          <m:r>
            <m:rPr>
              <m:sty m:val="p"/>
            </m:rPr>
            <m:t>logit</m:t>
          </m:r>
          <m:r>
            <m:rPr>
              <m:sty m:val="p"/>
            </m:rPr>
            <m:t>(</m:t>
          </m:r>
          <m:sSub>
            <m:e>
              <m:acc>
                <m:accPr>
                  <m:chr m:val="̃"/>
                </m:accPr>
                <m:e>
                  <m:r>
                    <m:t>π</m:t>
                  </m:r>
                </m:e>
              </m:acc>
            </m:e>
            <m:sub>
              <m:r>
                <m:t>1</m:t>
              </m:r>
            </m:sub>
          </m:sSub>
          <m:r>
            <m:rPr>
              <m:sty m:val="p"/>
            </m:rPr>
            <m:t>)</m:t>
          </m:r>
          <m:r>
            <m:rPr>
              <m:sty m:val="p"/>
            </m:rPr>
            <m:t>=</m:t>
          </m:r>
          <m:r>
            <m:rPr>
              <m:sty m:val="p"/>
            </m:rPr>
            <m:t>logit</m:t>
          </m:r>
          <m:r>
            <m:rPr>
              <m:sty m:val="p"/>
            </m:rPr>
            <m:t>(</m:t>
          </m:r>
          <m:sSub>
            <m:e>
              <m:r>
                <m:t>π</m:t>
              </m:r>
            </m:e>
            <m:sub>
              <m:r>
                <m:t>0</m:t>
              </m:r>
            </m:sub>
          </m:sSub>
          <m:r>
            <m:rPr>
              <m:sty m:val="p"/>
            </m:rPr>
            <m:t>)</m:t>
          </m:r>
          <m:r>
            <m:rPr>
              <m:sty m:val="p"/>
            </m:rPr>
            <m:t>+</m:t>
          </m:r>
          <m:r>
            <m:rPr>
              <m:sty m:val="p"/>
            </m:rPr>
            <m:t>ln</m:t>
          </m:r>
          <m:r>
            <m:rPr>
              <m:sty m:val="p"/>
            </m:rPr>
            <m:t>Λ</m:t>
          </m:r>
          <m:r>
            <m:rPr>
              <m:sty m:val="p"/>
            </m:rPr>
            <m:t>(</m:t>
          </m:r>
          <m:sSub>
            <m:e>
              <m:r>
                <m:t>x</m:t>
              </m:r>
            </m:e>
            <m:sub>
              <m:r>
                <m:t>C</m:t>
              </m:r>
            </m:sub>
          </m:sSub>
          <m:r>
            <m:rPr>
              <m:sty m:val="p"/>
            </m:rPr>
            <m:t>)</m:t>
          </m:r>
          <m:r>
            <m:rPr>
              <m:sty m:val="p"/>
            </m:rPr>
            <m:t>+</m:t>
          </m:r>
          <m:r>
            <m:t>α</m:t>
          </m:r>
          <m:sSub>
            <m:e>
              <m:r>
                <m:t>s</m:t>
              </m:r>
            </m:e>
            <m:sub>
              <m:r>
                <m:t>C</m:t>
              </m:r>
            </m:sub>
          </m:sSub>
          <m:r>
            <m:rPr>
              <m:sty m:val="p"/>
            </m:rPr>
            <m:t>+</m:t>
          </m:r>
          <m:r>
            <m:t>β</m:t>
          </m:r>
          <m:r>
            <m:t>a</m:t>
          </m:r>
          <m:r>
            <m:rPr>
              <m:sty m:val="p"/>
            </m:rPr>
            <m:t>+</m:t>
          </m:r>
          <m:r>
            <m:t>φ</m:t>
          </m:r>
          <m:r>
            <m:t>K</m:t>
          </m:r>
          <m:r>
            <m:rPr>
              <m:sty m:val="p"/>
            </m:rPr>
            <m:t>−</m:t>
          </m:r>
          <m:r>
            <m:t>γ</m:t>
          </m:r>
          <m:r>
            <m:t>D</m:t>
          </m:r>
          <m:r>
            <m:rPr>
              <m:sty m:val="p"/>
            </m:rPr>
            <m:t>.</m:t>
          </m:r>
          <m:r>
            <m:t> </m:t>
          </m:r>
          <m:r>
            <m:rPr>
              <m:sty m:val="p"/>
            </m:rPr>
            <m:t>(</m:t>
          </m:r>
          <m:r>
            <m:t>10</m:t>
          </m:r>
          <m:r>
            <m:rPr>
              <m:sty m:val="p"/>
            </m:rPr>
            <m:t>)</m:t>
          </m:r>
        </m:oMath>
      </m:oMathPara>
    </w:p>
    <w:p>
      <w:pPr>
        <w:pStyle w:val="FirstParagraph"/>
      </w:pPr>
      <w:r>
        <w:t xml:space="preserve">The parameters</w:t>
      </w:r>
      <w:r>
        <w:t xml:space="preserve"> </w:t>
      </w:r>
      <m:oMath>
        <m:r>
          <m:t>α</m:t>
        </m:r>
      </m:oMath>
      <w:r>
        <w:t xml:space="preserve">,</w:t>
      </w:r>
      <w:r>
        <w:t xml:space="preserve"> </w:t>
      </w:r>
      <m:oMath>
        <m:r>
          <m:t>β</m:t>
        </m:r>
      </m:oMath>
      <w:r>
        <w:t xml:space="preserve">,</w:t>
      </w:r>
      <w:r>
        <w:t xml:space="preserve"> </w:t>
      </w:r>
      <m:oMath>
        <m:r>
          <m:t>φ</m:t>
        </m:r>
      </m:oMath>
      <w:r>
        <w:t xml:space="preserve"> </w:t>
      </w:r>
      <w:r>
        <w:t xml:space="preserve">and</w:t>
      </w:r>
      <w:r>
        <w:t xml:space="preserve"> </w:t>
      </w:r>
      <m:oMath>
        <m:r>
          <m:t>γ</m:t>
        </m:r>
      </m:oMath>
      <w:r>
        <w:t xml:space="preserve"> </w:t>
      </w:r>
      <w:r>
        <w:t xml:space="preserve">are non-negative. The first three capture salience, elite signalling and public-coordination effects;</w:t>
      </w:r>
      <w:r>
        <w:t xml:space="preserve"> </w:t>
      </w:r>
      <m:oMath>
        <m:r>
          <m:t>γ</m:t>
        </m:r>
      </m:oMath>
      <w:r>
        <w:t xml:space="preserve"> </w:t>
      </w:r>
      <w:r>
        <w:t xml:space="preserve">captures the voter’s responsiveness to base-rate correction. Equation (10) does not require the voter to be irrational in a global sense. It can arise from rational inattention when processing a table is more costly than processing a vivid event, or from uncertainty about whether the government possesses private information.</w:t>
      </w:r>
    </w:p>
    <w:p>
      <w:pPr>
        <w:pStyle w:val="BodyText"/>
      </w:pPr>
      <w:r>
        <w:t xml:space="preserve">The equation separates four channels. First,</w:t>
      </w:r>
      <w:r>
        <w:t xml:space="preserve"> </w:t>
      </w:r>
      <m:oMath>
        <m:sSub>
          <m:e>
            <m:r>
              <m:t>x</m:t>
            </m:r>
          </m:e>
          <m:sub>
            <m:r>
              <m:t>C</m:t>
            </m:r>
          </m:sub>
        </m:sSub>
      </m:oMath>
      <w:r>
        <w:t xml:space="preserve"> </w:t>
      </w:r>
      <w:r>
        <w:t xml:space="preserve">affects the objective likelihood ratio. Second,</w:t>
      </w:r>
      <w:r>
        <w:t xml:space="preserve"> </w:t>
      </w:r>
      <m:oMath>
        <m:sSub>
          <m:e>
            <m:r>
              <m:t>s</m:t>
            </m:r>
          </m:e>
          <m:sub>
            <m:r>
              <m:t>C</m:t>
            </m:r>
          </m:sub>
        </m:sSub>
      </m:oMath>
      <w:r>
        <w:t xml:space="preserve"> </w:t>
      </w:r>
      <w:r>
        <w:t xml:space="preserve">increases the accessibility of the adverse state. Third, the costly action</w:t>
      </w:r>
      <w:r>
        <w:t xml:space="preserve"> </w:t>
      </w:r>
      <m:oMath>
        <m:r>
          <m:t>a</m:t>
        </m:r>
      </m:oMath>
      <w:r>
        <w:t xml:space="preserve"> </w:t>
      </w:r>
      <w:r>
        <w:t xml:space="preserve">can be interpreted as evidence. Fourth, institutional attention</w:t>
      </w:r>
      <w:r>
        <w:t xml:space="preserve"> </w:t>
      </w:r>
      <m:oMath>
        <m:r>
          <m:t>K</m:t>
        </m:r>
      </m:oMath>
      <w:r>
        <w:t xml:space="preserve"> </w:t>
      </w:r>
      <w:r>
        <w:t xml:space="preserve">raises higher-order beliefs. S</w:t>
      </w:r>
      <w:r>
        <w:t xml:space="preserve">0E1nchez’s rebuttal works in the opposite direction through</w:t>
      </w:r>
      <w:r>
        <w:t xml:space="preserve"> </w:t>
      </w:r>
      <m:oMath>
        <m:r>
          <m:t>D</m:t>
        </m:r>
      </m:oMath>
      <w:r>
        <w:t xml:space="preserve">.</w:t>
      </w:r>
    </w:p>
    <w:p>
      <w:pPr>
        <w:pStyle w:val="BodyText"/>
      </w:pPr>
      <w:r>
        <w:rPr>
          <w:b/>
          <w:bCs/>
        </w:rPr>
        <w:t xml:space="preserve">Proposition 1 (Perceptual dominance condition).</w:t>
      </w:r>
      <w:r>
        <w:t xml:space="preserve"> </w:t>
      </w:r>
      <w:r>
        <w:t xml:space="preserve">Holding the objective likelihood ratio fixed, Meloni’s frame raises the voter’s perceived posterior relative to the data-corrected benchmark if and only if</w:t>
      </w:r>
      <w:r>
        <w:t xml:space="preserve"> </w:t>
      </w:r>
      <m:oMath>
        <m:r>
          <m:t>α</m:t>
        </m:r>
        <m:sSub>
          <m:e>
            <m:r>
              <m:t>s</m:t>
            </m:r>
          </m:e>
          <m:sub>
            <m:r>
              <m:t>C</m:t>
            </m:r>
          </m:sub>
        </m:sSub>
        <m:r>
          <m:rPr>
            <m:sty m:val="p"/>
          </m:rPr>
          <m:t>+</m:t>
        </m:r>
        <m:r>
          <m:t>β</m:t>
        </m:r>
        <m:r>
          <m:t>a</m:t>
        </m:r>
        <m:r>
          <m:rPr>
            <m:sty m:val="p"/>
          </m:rPr>
          <m:t>+</m:t>
        </m:r>
        <m:r>
          <m:t>φ</m:t>
        </m:r>
        <m:r>
          <m:t>K</m:t>
        </m:r>
        <m:r>
          <m:rPr>
            <m:sty m:val="p"/>
          </m:rPr>
          <m:t>&gt;</m:t>
        </m:r>
        <m:r>
          <m:t>γ</m:t>
        </m:r>
        <m:r>
          <m:t>D</m:t>
        </m:r>
      </m:oMath>
      <w:r>
        <w:t xml:space="preserve">.</w:t>
      </w:r>
    </w:p>
    <w:p>
      <w:pPr>
        <w:pStyle w:val="BodyText"/>
      </w:pPr>
      <w:r>
        <w:rPr>
          <w:b/>
          <w:bCs/>
        </w:rPr>
        <w:t xml:space="preserve">Proof.</w:t>
      </w:r>
      <w:r>
        <w:t xml:space="preserve"> </w:t>
      </w:r>
      <w:r>
        <w:t xml:space="preserve">From equation (10), define the net political-information term</w:t>
      </w:r>
      <w:r>
        <w:t xml:space="preserve"> </w:t>
      </w:r>
      <m:oMath>
        <m:r>
          <m:t>Z</m:t>
        </m:r>
        <m:r>
          <m:rPr>
            <m:sty m:val="p"/>
          </m:rPr>
          <m:t>=</m:t>
        </m:r>
        <m:r>
          <m:t>α</m:t>
        </m:r>
        <m:sSub>
          <m:e>
            <m:r>
              <m:t>s</m:t>
            </m:r>
          </m:e>
          <m:sub>
            <m:r>
              <m:t>C</m:t>
            </m:r>
          </m:sub>
        </m:sSub>
        <m:r>
          <m:rPr>
            <m:sty m:val="p"/>
          </m:rPr>
          <m:t>+</m:t>
        </m:r>
        <m:r>
          <m:t>β</m:t>
        </m:r>
        <m:r>
          <m:t>a</m:t>
        </m:r>
        <m:r>
          <m:rPr>
            <m:sty m:val="p"/>
          </m:rPr>
          <m:t>+</m:t>
        </m:r>
        <m:r>
          <m:t>φ</m:t>
        </m:r>
        <m:r>
          <m:t>K</m:t>
        </m:r>
        <m:r>
          <m:rPr>
            <m:sty m:val="p"/>
          </m:rPr>
          <m:t>−</m:t>
        </m:r>
        <m:r>
          <m:t>γ</m:t>
        </m:r>
        <m:r>
          <m:t>D</m:t>
        </m:r>
      </m:oMath>
      <w:r>
        <w:t xml:space="preserve">. Because the logistic function is strictly increasing,</w:t>
      </w:r>
      <w:r>
        <w:t xml:space="preserve"> </w:t>
      </w:r>
      <m:oMath>
        <m:sSub>
          <m:e>
            <m:acc>
              <m:accPr>
                <m:chr m:val="̃"/>
              </m:accPr>
              <m:e>
                <m:r>
                  <m:t>π</m:t>
                </m:r>
              </m:e>
            </m:acc>
          </m:e>
          <m:sub>
            <m:r>
              <m:t>1</m:t>
            </m:r>
          </m:sub>
        </m:sSub>
      </m:oMath>
      <w:r>
        <w:t xml:space="preserve"> </w:t>
      </w:r>
      <w:r>
        <w:t xml:space="preserve">exceeds the posterior obtained after applying only the objective signal whenever</w:t>
      </w:r>
      <w:r>
        <w:t xml:space="preserve"> </w:t>
      </w:r>
      <m:oMath>
        <m:r>
          <m:t>Z</m:t>
        </m:r>
        <m:r>
          <m:rPr>
            <m:sty m:val="p"/>
          </m:rPr>
          <m:t>&gt;</m:t>
        </m:r>
        <m:r>
          <m:t>0</m:t>
        </m:r>
      </m:oMath>
      <w:r>
        <w:t xml:space="preserve">. Thus the government’s salience, action and coordination effects dominate the opponent’s data correction exactly when</w:t>
      </w:r>
      <w:r>
        <w:t xml:space="preserve"> </w:t>
      </w:r>
      <m:oMath>
        <m:r>
          <m:t>α</m:t>
        </m:r>
        <m:sSub>
          <m:e>
            <m:r>
              <m:t>s</m:t>
            </m:r>
          </m:e>
          <m:sub>
            <m:r>
              <m:t>C</m:t>
            </m:r>
          </m:sub>
        </m:sSub>
        <m:r>
          <m:rPr>
            <m:sty m:val="p"/>
          </m:rPr>
          <m:t>+</m:t>
        </m:r>
        <m:r>
          <m:t>β</m:t>
        </m:r>
        <m:r>
          <m:t>a</m:t>
        </m:r>
        <m:r>
          <m:rPr>
            <m:sty m:val="p"/>
          </m:rPr>
          <m:t>+</m:t>
        </m:r>
        <m:r>
          <m:t>φ</m:t>
        </m:r>
        <m:r>
          <m:t>K</m:t>
        </m:r>
        <m:r>
          <m:rPr>
            <m:sty m:val="p"/>
          </m:rPr>
          <m:t>&gt;</m:t>
        </m:r>
        <m:r>
          <m:t>γ</m:t>
        </m:r>
        <m:r>
          <m:t>D</m:t>
        </m:r>
      </m:oMath>
      <w:r>
        <w:t xml:space="preserve">.</w:t>
      </w:r>
      <w:r>
        <w:t xml:space="preserve"> </w:t>
      </w:r>
      <w:r>
        <w:t xml:space="preserve">5A1</w:t>
      </w:r>
    </w:p>
    <w:p>
      <w:pPr>
        <w:pStyle w:val="BodyText"/>
      </w:pPr>
      <w:r>
        <w:t xml:space="preserve">Proposition 1 formalises the intuitive claim that</w:t>
      </w:r>
      <w:r>
        <w:t xml:space="preserve"> </w:t>
      </w:r>
      <w:r>
        <w:t xml:space="preserve">“having the numbers”</w:t>
      </w:r>
      <w:r>
        <w:t xml:space="preserve"> </w:t>
      </w:r>
      <w:r>
        <w:t xml:space="preserve">is not sufficient. The relevant comparison is not between the amount of information in the two interventions, but between their effects on the voter’s log-odds after attention, credibility and public coordination are taken into account.</w:t>
      </w:r>
    </w:p>
    <w:bookmarkEnd w:id="18"/>
    <w:bookmarkStart w:id="19" w:name="availability-priors"/>
    <w:p>
      <w:pPr>
        <w:pStyle w:val="Heading3"/>
      </w:pPr>
      <w:r>
        <w:t xml:space="preserve">5.2. Availability priors</w:t>
      </w:r>
    </w:p>
    <w:p>
      <w:pPr>
        <w:pStyle w:val="FirstParagraph"/>
      </w:pPr>
      <w:r>
        <w:t xml:space="preserve">A second mechanism changes the prior itself. Let</w:t>
      </w:r>
      <w:r>
        <w:t xml:space="preserve"> </w:t>
      </w:r>
      <m:oMath>
        <m:sSub>
          <m:e>
            <m:r>
              <m:t>q</m:t>
            </m:r>
          </m:e>
          <m:sub>
            <m:r>
              <m:t>C</m:t>
            </m:r>
          </m:sub>
        </m:sSub>
      </m:oMath>
      <w:r>
        <w:t xml:space="preserve"> </w:t>
      </w:r>
      <w:r>
        <w:t xml:space="preserve">be the risk suggested by the most cognitively available event and let</w:t>
      </w:r>
      <w:r>
        <w:t xml:space="preserve"> </w:t>
      </w:r>
      <m:oMath>
        <m:r>
          <m:t>ρ</m:t>
        </m:r>
        <m:r>
          <m:rPr>
            <m:sty m:val="p"/>
          </m:rPr>
          <m:t>∈</m:t>
        </m:r>
        <m:r>
          <m:rPr>
            <m:sty m:val="p"/>
          </m:rPr>
          <m:t>[</m:t>
        </m:r>
        <m:r>
          <m:t>0</m:t>
        </m:r>
        <m:r>
          <m:rPr>
            <m:sty m:val="p"/>
          </m:rPr>
          <m:t>,</m:t>
        </m:r>
        <m:r>
          <m:t>1</m:t>
        </m:r>
        <m:r>
          <m:rPr>
            <m:sty m:val="p"/>
          </m:rPr>
          <m:t>]</m:t>
        </m:r>
      </m:oMath>
      <w:r>
        <w:t xml:space="preserve"> </w:t>
      </w:r>
      <w:r>
        <w:t xml:space="preserve">be its weight. The voter behaves as if the prior were:</w:t>
      </w:r>
    </w:p>
    <w:p>
      <w:pPr>
        <w:pStyle w:val="BodyText"/>
      </w:pPr>
      <m:oMathPara>
        <m:oMathParaPr>
          <m:jc m:val="center"/>
        </m:oMathParaPr>
        <m:oMath>
          <m:sSub>
            <m:e>
              <m:r>
                <m:t>π</m:t>
              </m:r>
            </m:e>
            <m:sub>
              <m:r>
                <m:t>A</m:t>
              </m:r>
            </m:sub>
          </m:sSub>
          <m:r>
            <m:rPr>
              <m:sty m:val="p"/>
            </m:rPr>
            <m:t>=</m:t>
          </m:r>
          <m:r>
            <m:rPr>
              <m:sty m:val="p"/>
            </m:rPr>
            <m:t>(</m:t>
          </m:r>
          <m:r>
            <m:t>1</m:t>
          </m:r>
          <m:r>
            <m:rPr>
              <m:sty m:val="p"/>
            </m:rPr>
            <m:t>−</m:t>
          </m:r>
          <m:r>
            <m:t>ρ</m:t>
          </m:r>
          <m:r>
            <m:rPr>
              <m:sty m:val="p"/>
            </m:rPr>
            <m:t>)</m:t>
          </m:r>
          <m:sSub>
            <m:e>
              <m:r>
                <m:t>π</m:t>
              </m:r>
            </m:e>
            <m:sub>
              <m:r>
                <m:t>0</m:t>
              </m:r>
            </m:sub>
          </m:sSub>
          <m:r>
            <m:rPr>
              <m:sty m:val="p"/>
            </m:rPr>
            <m:t>+</m:t>
          </m:r>
          <m:r>
            <m:t>ρ</m:t>
          </m:r>
          <m:sSub>
            <m:e>
              <m:r>
                <m:t>q</m:t>
              </m:r>
            </m:e>
            <m:sub>
              <m:r>
                <m:t>C</m:t>
              </m:r>
            </m:sub>
          </m:sSub>
          <m:r>
            <m:rPr>
              <m:sty m:val="p"/>
            </m:rPr>
            <m:t>.</m:t>
          </m:r>
          <m:r>
            <m:t> </m:t>
          </m:r>
          <m:r>
            <m:rPr>
              <m:sty m:val="p"/>
            </m:rPr>
            <m:t>(</m:t>
          </m:r>
          <m:r>
            <m:t>11</m:t>
          </m:r>
          <m:r>
            <m:rPr>
              <m:sty m:val="p"/>
            </m:rPr>
            <m:t>)</m:t>
          </m:r>
        </m:oMath>
      </m:oMathPara>
    </w:p>
    <w:p>
      <w:pPr>
        <w:pStyle w:val="FirstParagraph"/>
      </w:pPr>
      <w:r>
        <w:t xml:space="preserve">When</w:t>
      </w:r>
      <w:r>
        <w:t xml:space="preserve"> </w:t>
      </w:r>
      <m:oMath>
        <m:r>
          <m:t>ρ</m:t>
        </m:r>
      </m:oMath>
      <w:r>
        <w:t xml:space="preserve"> </w:t>
      </w:r>
      <w:r>
        <w:t xml:space="preserve">approaches one, historical frequencies are displaced by the local shock. S</w:t>
      </w:r>
      <w:r>
        <w:t xml:space="preserve">0E1nchez reasons from</w:t>
      </w:r>
      <w:r>
        <w:t xml:space="preserve"> </w:t>
      </w:r>
      <m:oMath>
        <m:sSub>
          <m:e>
            <m:r>
              <m:t>π</m:t>
            </m:r>
          </m:e>
          <m:sub>
            <m:r>
              <m:t>0</m:t>
            </m:r>
          </m:sub>
        </m:sSub>
      </m:oMath>
      <w:r>
        <w:t xml:space="preserve">; Meloni encourages the electorate to reason from</w:t>
      </w:r>
      <w:r>
        <w:t xml:space="preserve"> </w:t>
      </w:r>
      <m:oMath>
        <m:sSub>
          <m:e>
            <m:r>
              <m:t>π</m:t>
            </m:r>
          </m:e>
          <m:sub>
            <m:r>
              <m:t>A</m:t>
            </m:r>
          </m:sub>
        </m:sSub>
      </m:oMath>
      <w:r>
        <w:t xml:space="preserve">. The disagreement is therefore partly a contest over which prior is legitimate.</w:t>
      </w:r>
    </w:p>
    <w:p>
      <w:pPr>
        <w:pStyle w:val="BodyText"/>
      </w:pPr>
      <w:r>
        <w:t xml:space="preserve">The distinction also explains why an argument based on cumulative Italian detections may fail to reassure. A voter can accept that Italy has historically received more arrivals while assigning a high conditional probability to a new Spanish-origin shock. Historical and conditional claims can coexist without logical inconsistency.</w:t>
      </w:r>
    </w:p>
    <w:bookmarkEnd w:id="19"/>
    <w:bookmarkEnd w:id="20"/>
    <w:bookmarkStart w:id="21" w:name="X4195e7d2d6e5445ba789e7b8977460cb17cd98f"/>
    <w:p>
      <w:pPr>
        <w:pStyle w:val="Heading2"/>
      </w:pPr>
      <w:r>
        <w:t xml:space="preserve">6. Threat externalisation and responsibility transfer</w:t>
      </w:r>
    </w:p>
    <w:p>
      <w:pPr>
        <w:pStyle w:val="FirstParagraph"/>
      </w:pPr>
      <w:r>
        <w:t xml:space="preserve">Political risk is psychologically different when it is represented as an external threat rather than an endogenous consequence of collective choice. Let</w:t>
      </w:r>
      <w:r>
        <w:t xml:space="preserve"> </w:t>
      </w:r>
      <m:oMath>
        <m:r>
          <m:t>L</m:t>
        </m:r>
        <m:r>
          <m:rPr>
            <m:sty m:val="p"/>
          </m:rPr>
          <m:t>&gt;</m:t>
        </m:r>
        <m:r>
          <m:t>0</m:t>
        </m:r>
      </m:oMath>
      <w:r>
        <w:t xml:space="preserve"> </w:t>
      </w:r>
      <w:r>
        <w:t xml:space="preserve">be the loss attached to the adverse state. Let</w:t>
      </w:r>
      <w:r>
        <w:t xml:space="preserve"> </w:t>
      </w:r>
      <m:oMath>
        <m:r>
          <m:t>κ</m:t>
        </m:r>
        <m:r>
          <m:rPr>
            <m:sty m:val="p"/>
          </m:rPr>
          <m:t>&gt;</m:t>
        </m:r>
        <m:r>
          <m:t>0</m:t>
        </m:r>
      </m:oMath>
      <w:r>
        <w:t xml:space="preserve"> </w:t>
      </w:r>
      <w:r>
        <w:t xml:space="preserve">be the disutility of acknowledging personal or collective responsibility for the policy outcome. The voter may delegate responsibility to a protective executive by choosing Meloni’s coalition.</w:t>
      </w:r>
    </w:p>
    <w:p>
      <w:pPr>
        <w:pStyle w:val="BodyText"/>
      </w:pPr>
      <w:r>
        <w:t xml:space="preserve">Let</w:t>
      </w:r>
      <w:r>
        <w:t xml:space="preserve"> </w:t>
      </w:r>
      <m:oMath>
        <m:r>
          <m:t>d</m:t>
        </m:r>
        <m:r>
          <m:rPr>
            <m:sty m:val="p"/>
          </m:rPr>
          <m:t>∈</m:t>
        </m:r>
        <m:r>
          <m:rPr>
            <m:sty m:val="p"/>
          </m:rPr>
          <m:t>{</m:t>
        </m:r>
        <m:r>
          <m:t>0</m:t>
        </m:r>
        <m:r>
          <m:rPr>
            <m:sty m:val="p"/>
          </m:rPr>
          <m:t>,</m:t>
        </m:r>
        <m:r>
          <m:t>1</m:t>
        </m:r>
        <m:r>
          <m:rPr>
            <m:sty m:val="p"/>
          </m:rPr>
          <m:t>}</m:t>
        </m:r>
      </m:oMath>
      <w:r>
        <w:t xml:space="preserve"> </w:t>
      </w:r>
      <w:r>
        <w:t xml:space="preserve">denote delegation. The voter’s utility is:</w:t>
      </w:r>
    </w:p>
    <w:p>
      <w:pPr>
        <w:pStyle w:val="BodyText"/>
      </w:pPr>
      <m:oMathPara>
        <m:oMathParaPr>
          <m:jc m:val="center"/>
        </m:oMathParaPr>
        <m:oMath>
          <m:sSub>
            <m:e>
              <m:r>
                <m:t>U</m:t>
              </m:r>
            </m:e>
            <m:sub>
              <m:r>
                <m:t>V</m:t>
              </m:r>
            </m:sub>
          </m:sSub>
          <m:r>
            <m:rPr>
              <m:sty m:val="p"/>
            </m:rPr>
            <m:t>(</m:t>
          </m:r>
          <m:r>
            <m:t>d</m:t>
          </m:r>
          <m:r>
            <m:rPr>
              <m:sty m:val="p"/>
            </m:rPr>
            <m:t>)</m:t>
          </m:r>
          <m:r>
            <m:rPr>
              <m:sty m:val="p"/>
            </m:rPr>
            <m:t>=</m:t>
          </m:r>
          <m:r>
            <m:rPr>
              <m:sty m:val="p"/>
            </m:rPr>
            <m:t>−</m:t>
          </m:r>
          <m:sSub>
            <m:e>
              <m:acc>
                <m:accPr>
                  <m:chr m:val="̃"/>
                </m:accPr>
                <m:e>
                  <m:r>
                    <m:t>π</m:t>
                  </m:r>
                </m:e>
              </m:acc>
            </m:e>
            <m:sub>
              <m:r>
                <m:t>1</m:t>
              </m:r>
            </m:sub>
          </m:sSub>
          <m:r>
            <m:t>L</m:t>
          </m:r>
          <m:r>
            <m:rPr>
              <m:sty m:val="p"/>
            </m:rPr>
            <m:t>−</m:t>
          </m:r>
          <m:r>
            <m:t>κ</m:t>
          </m:r>
          <m:r>
            <m:rPr>
              <m:sty m:val="p"/>
            </m:rPr>
            <m:t>(</m:t>
          </m:r>
          <m:r>
            <m:t>1</m:t>
          </m:r>
          <m:r>
            <m:rPr>
              <m:sty m:val="p"/>
            </m:rPr>
            <m:t>−</m:t>
          </m:r>
          <m:r>
            <m:t>d</m:t>
          </m:r>
          <m:r>
            <m:rPr>
              <m:sty m:val="p"/>
            </m:rPr>
            <m:t>)</m:t>
          </m:r>
          <m:r>
            <m:rPr>
              <m:sty m:val="p"/>
            </m:rPr>
            <m:t>−</m:t>
          </m:r>
          <m:sSub>
            <m:e>
              <m:r>
                <m:t>c</m:t>
              </m:r>
            </m:e>
            <m:sub>
              <m:r>
                <m:t>d</m:t>
              </m:r>
            </m:sub>
          </m:sSub>
          <m:r>
            <m:t> </m:t>
          </m:r>
          <m:r>
            <m:t>d</m:t>
          </m:r>
          <m:r>
            <m:rPr>
              <m:sty m:val="p"/>
            </m:rPr>
            <m:t>,</m:t>
          </m:r>
          <m:r>
            <m:t> </m:t>
          </m:r>
          <m:r>
            <m:rPr>
              <m:sty m:val="p"/>
            </m:rPr>
            <m:t>(</m:t>
          </m:r>
          <m:r>
            <m:t>12</m:t>
          </m:r>
          <m:r>
            <m:rPr>
              <m:sty m:val="p"/>
            </m:rPr>
            <m:t>)</m:t>
          </m:r>
        </m:oMath>
      </m:oMathPara>
    </w:p>
    <w:p>
      <w:pPr>
        <w:pStyle w:val="FirstParagraph"/>
      </w:pPr>
      <w:r>
        <w:t xml:space="preserve">where</w:t>
      </w:r>
      <w:r>
        <w:t xml:space="preserve"> </w:t>
      </w:r>
      <m:oMath>
        <m:sSub>
          <m:e>
            <m:r>
              <m:t>c</m:t>
            </m:r>
          </m:e>
          <m:sub>
            <m:r>
              <m:t>d</m:t>
            </m:r>
          </m:sub>
        </m:sSub>
      </m:oMath>
      <w:r>
        <w:t xml:space="preserve"> </w:t>
      </w:r>
      <w:r>
        <w:t xml:space="preserve">is the ideological, distributive or reputational cost of supporting the protective actor. The first term is the expected material or symbolic loss; the second is responsibility cost; the third is delegation cost.</w:t>
      </w:r>
    </w:p>
    <w:p>
      <w:pPr>
        <w:pStyle w:val="BodyText"/>
      </w:pPr>
      <w:r>
        <w:rPr>
          <w:b/>
          <w:bCs/>
        </w:rPr>
        <w:t xml:space="preserve">Proposition 2 (Responsibility-delegation threshold).</w:t>
      </w:r>
      <w:r>
        <w:t xml:space="preserve"> </w:t>
      </w:r>
      <w:r>
        <w:t xml:space="preserve">The voter delegates responsibility to the protective government if and only if</w:t>
      </w:r>
      <w:r>
        <w:t xml:space="preserve"> </w:t>
      </w:r>
      <m:oMath>
        <m:r>
          <m:t>κ</m:t>
        </m:r>
        <m:r>
          <m:rPr>
            <m:sty m:val="p"/>
          </m:rPr>
          <m:t>&gt;</m:t>
        </m:r>
        <m:sSub>
          <m:e>
            <m:r>
              <m:t>c</m:t>
            </m:r>
          </m:e>
          <m:sub>
            <m:r>
              <m:t>d</m:t>
            </m:r>
          </m:sub>
        </m:sSub>
      </m:oMath>
      <w:r>
        <w:t xml:space="preserve">. This choice can occur independently of the objective probability of onward migration.</w:t>
      </w:r>
    </w:p>
    <w:p>
      <w:pPr>
        <w:pStyle w:val="BodyText"/>
      </w:pPr>
      <w:r>
        <w:rPr>
          <w:b/>
          <w:bCs/>
        </w:rPr>
        <w:t xml:space="preserve">Proof.</w:t>
      </w:r>
      <w:r>
        <w:t xml:space="preserve"> </w:t>
      </w:r>
      <w:r>
        <w:t xml:space="preserve">The voter delegates when</w:t>
      </w:r>
      <w:r>
        <w:t xml:space="preserve"> </w:t>
      </w:r>
      <m:oMath>
        <m:sSub>
          <m:e>
            <m:r>
              <m:t>U</m:t>
            </m:r>
          </m:e>
          <m:sub>
            <m:r>
              <m:t>V</m:t>
            </m:r>
          </m:sub>
        </m:sSub>
        <m:r>
          <m:rPr>
            <m:sty m:val="p"/>
          </m:rPr>
          <m:t>(</m:t>
        </m:r>
        <m:r>
          <m:t>1</m:t>
        </m:r>
        <m:r>
          <m:rPr>
            <m:sty m:val="p"/>
          </m:rPr>
          <m:t>)</m:t>
        </m:r>
        <m:r>
          <m:rPr>
            <m:sty m:val="p"/>
          </m:rPr>
          <m:t>&gt;</m:t>
        </m:r>
        <m:sSub>
          <m:e>
            <m:r>
              <m:t>U</m:t>
            </m:r>
          </m:e>
          <m:sub>
            <m:r>
              <m:t>V</m:t>
            </m:r>
          </m:sub>
        </m:sSub>
        <m:r>
          <m:rPr>
            <m:sty m:val="p"/>
          </m:rPr>
          <m:t>(</m:t>
        </m:r>
        <m:r>
          <m:t>0</m:t>
        </m:r>
        <m:r>
          <m:rPr>
            <m:sty m:val="p"/>
          </m:rPr>
          <m:t>)</m:t>
        </m:r>
      </m:oMath>
      <w:r>
        <w:t xml:space="preserve">. Substitution into equation (12) yields</w:t>
      </w:r>
      <w:r>
        <w:t xml:space="preserve"> </w:t>
      </w:r>
      <m:oMath>
        <m:r>
          <m:rPr>
            <m:sty m:val="p"/>
          </m:rPr>
          <m:t>−</m:t>
        </m:r>
        <m:sSub>
          <m:e>
            <m:acc>
              <m:accPr>
                <m:chr m:val="̃"/>
              </m:accPr>
              <m:e>
                <m:r>
                  <m:t>π</m:t>
                </m:r>
              </m:e>
            </m:acc>
          </m:e>
          <m:sub>
            <m:r>
              <m:t>1</m:t>
            </m:r>
          </m:sub>
        </m:sSub>
        <m:r>
          <m:t>L</m:t>
        </m:r>
        <m:r>
          <m:rPr>
            <m:sty m:val="p"/>
          </m:rPr>
          <m:t>−</m:t>
        </m:r>
        <m:sSub>
          <m:e>
            <m:r>
              <m:t>c</m:t>
            </m:r>
          </m:e>
          <m:sub>
            <m:r>
              <m:t>d</m:t>
            </m:r>
          </m:sub>
        </m:sSub>
        <m:r>
          <m:rPr>
            <m:sty m:val="p"/>
          </m:rPr>
          <m:t>&gt;</m:t>
        </m:r>
        <m:r>
          <m:rPr>
            <m:sty m:val="p"/>
          </m:rPr>
          <m:t>−</m:t>
        </m:r>
        <m:sSub>
          <m:e>
            <m:acc>
              <m:accPr>
                <m:chr m:val="̃"/>
              </m:accPr>
              <m:e>
                <m:r>
                  <m:t>π</m:t>
                </m:r>
              </m:e>
            </m:acc>
          </m:e>
          <m:sub>
            <m:r>
              <m:t>1</m:t>
            </m:r>
          </m:sub>
        </m:sSub>
        <m:r>
          <m:t>L</m:t>
        </m:r>
        <m:r>
          <m:rPr>
            <m:sty m:val="p"/>
          </m:rPr>
          <m:t>−</m:t>
        </m:r>
        <m:r>
          <m:t>κ</m:t>
        </m:r>
      </m:oMath>
      <w:r>
        <w:t xml:space="preserve">. The expected-loss terms cancel. Rearranging gives</w:t>
      </w:r>
      <w:r>
        <w:t xml:space="preserve"> </w:t>
      </w:r>
      <m:oMath>
        <m:r>
          <m:t>κ</m:t>
        </m:r>
        <m:r>
          <m:rPr>
            <m:sty m:val="p"/>
          </m:rPr>
          <m:t>&gt;</m:t>
        </m:r>
        <m:sSub>
          <m:e>
            <m:r>
              <m:t>c</m:t>
            </m:r>
          </m:e>
          <m:sub>
            <m:r>
              <m:t>d</m:t>
            </m:r>
          </m:sub>
        </m:sSub>
      </m:oMath>
      <w:r>
        <w:t xml:space="preserve">. Therefore the act of delegation can be driven entirely by the value of transferring responsibility rather than by a belief that the policy substantially changes the physical risk.</w:t>
      </w:r>
      <w:r>
        <w:t xml:space="preserve"> </w:t>
      </w:r>
      <w:r>
        <w:t xml:space="preserve">5A1</w:t>
      </w:r>
    </w:p>
    <w:p>
      <w:pPr>
        <w:pStyle w:val="BodyText"/>
      </w:pPr>
      <w:r>
        <w:t xml:space="preserve">The result clarifies why reassurance can be electorally valuable even when the underlying danger is small. The political product is not only risk reduction. It is an allocation of agency: the voter purchases the claim that someone else has taken control.</w:t>
      </w:r>
    </w:p>
    <w:p>
      <w:pPr>
        <w:pStyle w:val="BodyText"/>
      </w:pPr>
      <w:r>
        <w:t xml:space="preserve">This mechanism is particularly strong when the external event is outside the voter’s action set. A threat generated in Ceuta is naturally coded as something done by others. Once a leader announces a preventive response, supporting that leader becomes a low-cost way of converting diffuse anxiety into delegated executive action.</w:t>
      </w:r>
    </w:p>
    <w:bookmarkEnd w:id="21"/>
    <w:bookmarkStart w:id="24" w:name="Xfa027ef7bb23a35d9e58b35753659fbd322bc88"/>
    <w:p>
      <w:pPr>
        <w:pStyle w:val="Heading2"/>
      </w:pPr>
      <w:r>
        <w:t xml:space="preserve">7. Loss aversion, ambiguity and robust choice</w:t>
      </w:r>
    </w:p>
    <w:bookmarkStart w:id="22" w:name="loss-averse-policy-evaluation"/>
    <w:p>
      <w:pPr>
        <w:pStyle w:val="Heading3"/>
      </w:pPr>
      <w:r>
        <w:t xml:space="preserve">7.1. Loss-averse policy evaluation</w:t>
      </w:r>
    </w:p>
    <w:p>
      <w:pPr>
        <w:pStyle w:val="FirstParagraph"/>
      </w:pPr>
      <w:r>
        <w:t xml:space="preserve">Let the voter evaluate outcomes through a prospect-theoretic value function:</w:t>
      </w:r>
    </w:p>
    <w:p>
      <w:pPr>
        <w:pStyle w:val="BodyText"/>
      </w:pPr>
      <m:oMathPara>
        <m:oMathParaPr>
          <m:jc m:val="center"/>
        </m:oMathParaPr>
        <m:oMath>
          <m:r>
            <m:t>v</m:t>
          </m:r>
          <m:r>
            <m:rPr>
              <m:sty m:val="p"/>
            </m:rPr>
            <m:t>(</m:t>
          </m:r>
          <m:r>
            <m:t>z</m:t>
          </m:r>
          <m:r>
            <m:rPr>
              <m:sty m:val="p"/>
            </m:rPr>
            <m:t>)</m:t>
          </m:r>
          <m:r>
            <m:rPr>
              <m:sty m:val="p"/>
            </m:rPr>
            <m:t>=</m:t>
          </m:r>
          <m:sSup>
            <m:e>
              <m:r>
                <m:t>z</m:t>
              </m:r>
            </m:e>
            <m:sup>
              <m:r>
                <m:t>η</m:t>
              </m:r>
            </m:sup>
          </m:sSup>
          <m:r>
            <m:t> </m:t>
          </m:r>
          <m:r>
            <m:rPr>
              <m:nor/>
              <m:sty m:val="p"/>
            </m:rPr>
            <m:t> if </m:t>
          </m:r>
          <m:r>
            <m:t>z</m:t>
          </m:r>
          <m:r>
            <m:rPr>
              <m:sty m:val="p"/>
            </m:rPr>
            <m:t>≥</m:t>
          </m:r>
          <m:r>
            <m:t>0</m:t>
          </m:r>
          <m:r>
            <m:rPr>
              <m:sty m:val="p"/>
            </m:rPr>
            <m:t>;</m:t>
          </m:r>
          <m:r>
            <m:t>  </m:t>
          </m:r>
          <m:r>
            <m:t>v</m:t>
          </m:r>
          <m:r>
            <m:rPr>
              <m:sty m:val="p"/>
            </m:rPr>
            <m:t>(</m:t>
          </m:r>
          <m:r>
            <m:t>z</m:t>
          </m:r>
          <m:r>
            <m:rPr>
              <m:sty m:val="p"/>
            </m:rPr>
            <m:t>)</m:t>
          </m:r>
          <m:r>
            <m:rPr>
              <m:sty m:val="p"/>
            </m:rPr>
            <m:t>=</m:t>
          </m:r>
          <m:r>
            <m:rPr>
              <m:sty m:val="p"/>
            </m:rPr>
            <m:t>−</m:t>
          </m:r>
          <m:r>
            <m:t>λ</m:t>
          </m:r>
          <m:r>
            <m:rPr>
              <m:sty m:val="p"/>
            </m:rPr>
            <m:t>(</m:t>
          </m:r>
          <m:r>
            <m:rPr>
              <m:sty m:val="p"/>
            </m:rPr>
            <m:t>−</m:t>
          </m:r>
          <m:r>
            <m:t>z</m:t>
          </m:r>
          <m:sSup>
            <m:e>
              <m:r>
                <m:rPr>
                  <m:sty m:val="p"/>
                </m:rPr>
                <m:t>)</m:t>
              </m:r>
            </m:e>
            <m:sup>
              <m:r>
                <m:t>η</m:t>
              </m:r>
            </m:sup>
          </m:sSup>
          <m:r>
            <m:t> </m:t>
          </m:r>
          <m:r>
            <m:rPr>
              <m:nor/>
              <m:sty m:val="p"/>
            </m:rPr>
            <m:t> if </m:t>
          </m:r>
          <m:r>
            <m:t>z</m:t>
          </m:r>
          <m:r>
            <m:rPr>
              <m:sty m:val="p"/>
            </m:rPr>
            <m:t>&lt;</m:t>
          </m:r>
          <m:r>
            <m:t>0</m:t>
          </m:r>
          <m:r>
            <m:rPr>
              <m:sty m:val="p"/>
            </m:rPr>
            <m:t>,</m:t>
          </m:r>
          <m:r>
            <m:t> </m:t>
          </m:r>
          <m:r>
            <m:rPr>
              <m:sty m:val="p"/>
            </m:rPr>
            <m:t>(</m:t>
          </m:r>
          <m:r>
            <m:t>13</m:t>
          </m:r>
          <m:r>
            <m:rPr>
              <m:sty m:val="p"/>
            </m:rPr>
            <m:t>)</m:t>
          </m:r>
        </m:oMath>
      </m:oMathPara>
    </w:p>
    <w:p>
      <w:pPr>
        <w:pStyle w:val="FirstParagraph"/>
      </w:pPr>
      <w:r>
        <w:t xml:space="preserve">where</w:t>
      </w:r>
      <w:r>
        <w:t xml:space="preserve"> </w:t>
      </w:r>
      <m:oMath>
        <m:r>
          <m:t>0</m:t>
        </m:r>
        <m:r>
          <m:rPr>
            <m:sty m:val="p"/>
          </m:rPr>
          <m:t>&lt;</m:t>
        </m:r>
        <m:r>
          <m:t>η</m:t>
        </m:r>
        <m:r>
          <m:rPr>
            <m:sty m:val="p"/>
          </m:rPr>
          <m:t>≤</m:t>
        </m:r>
        <m:r>
          <m:t>1</m:t>
        </m:r>
      </m:oMath>
      <w:r>
        <w:t xml:space="preserve"> </w:t>
      </w:r>
      <w:r>
        <w:t xml:space="preserve">and</w:t>
      </w:r>
      <w:r>
        <w:t xml:space="preserve"> </w:t>
      </w:r>
      <m:oMath>
        <m:r>
          <m:t>λ</m:t>
        </m:r>
        <m:r>
          <m:rPr>
            <m:sty m:val="p"/>
          </m:rPr>
          <m:t>&gt;</m:t>
        </m:r>
        <m:r>
          <m:t>1</m:t>
        </m:r>
      </m:oMath>
      <w:r>
        <w:t xml:space="preserve"> </w:t>
      </w:r>
      <w:r>
        <w:t xml:space="preserve">is the coefficient of loss aversion. Let</w:t>
      </w:r>
      <w:r>
        <w:t xml:space="preserve"> </w:t>
      </w:r>
      <m:oMath>
        <m:sSub>
          <m:e>
            <m:r>
              <m:t>p</m:t>
            </m:r>
          </m:e>
          <m:sub>
            <m:r>
              <m:t>M</m:t>
            </m:r>
          </m:sub>
        </m:sSub>
      </m:oMath>
      <w:r>
        <w:t xml:space="preserve"> </w:t>
      </w:r>
      <w:r>
        <w:t xml:space="preserve">and</w:t>
      </w:r>
      <w:r>
        <w:t xml:space="preserve"> </w:t>
      </w:r>
      <m:oMath>
        <m:sSub>
          <m:e>
            <m:r>
              <m:t>p</m:t>
            </m:r>
          </m:e>
          <m:sub>
            <m:r>
              <m:t>O</m:t>
            </m:r>
          </m:sub>
        </m:sSub>
      </m:oMath>
      <w:r>
        <w:t xml:space="preserve"> </w:t>
      </w:r>
      <w:r>
        <w:t xml:space="preserve">be the voter’s subjective probabilities of the adverse event under Meloni and the opposition, respectively, and let</w:t>
      </w:r>
      <w:r>
        <w:t xml:space="preserve"> </w:t>
      </w:r>
      <m:oMath>
        <m:sSub>
          <m:e>
            <m:r>
              <m:t>c</m:t>
            </m:r>
          </m:e>
          <m:sub>
            <m:r>
              <m:t>M</m:t>
            </m:r>
          </m:sub>
        </m:sSub>
      </m:oMath>
      <w:r>
        <w:t xml:space="preserve"> </w:t>
      </w:r>
      <w:r>
        <w:t xml:space="preserve">be the perceived cost of restrictive controls.</w:t>
      </w:r>
    </w:p>
    <w:p>
      <w:pPr>
        <w:pStyle w:val="BodyText"/>
      </w:pPr>
      <m:oMathPara>
        <m:oMathParaPr>
          <m:jc m:val="center"/>
        </m:oMathParaPr>
        <m:oMath>
          <m:r>
            <m:t>E</m:t>
          </m:r>
          <m:r>
            <m:t>U</m:t>
          </m:r>
          <m:r>
            <m:rPr>
              <m:sty m:val="p"/>
            </m:rPr>
            <m:t>(</m:t>
          </m:r>
          <m:r>
            <m:t>M</m:t>
          </m:r>
          <m:r>
            <m:rPr>
              <m:sty m:val="p"/>
            </m:rPr>
            <m:t>)</m:t>
          </m:r>
          <m:r>
            <m:rPr>
              <m:sty m:val="p"/>
            </m:rPr>
            <m:t>=</m:t>
          </m:r>
          <m:r>
            <m:rPr>
              <m:sty m:val="p"/>
            </m:rPr>
            <m:t>−</m:t>
          </m:r>
          <m:r>
            <m:t>λ</m:t>
          </m:r>
          <m:sSub>
            <m:e>
              <m:r>
                <m:t>p</m:t>
              </m:r>
            </m:e>
            <m:sub>
              <m:r>
                <m:t>M</m:t>
              </m:r>
            </m:sub>
          </m:sSub>
          <m:r>
            <m:t>L</m:t>
          </m:r>
          <m:r>
            <m:rPr>
              <m:sty m:val="p"/>
            </m:rPr>
            <m:t>−</m:t>
          </m:r>
          <m:sSub>
            <m:e>
              <m:r>
                <m:t>c</m:t>
              </m:r>
            </m:e>
            <m:sub>
              <m:r>
                <m:t>M</m:t>
              </m:r>
            </m:sub>
          </m:sSub>
          <m:r>
            <m:rPr>
              <m:sty m:val="p"/>
            </m:rPr>
            <m:t>,</m:t>
          </m:r>
          <m:r>
            <m:t> </m:t>
          </m:r>
          <m:r>
            <m:t>E</m:t>
          </m:r>
          <m:r>
            <m:t>U</m:t>
          </m:r>
          <m:r>
            <m:rPr>
              <m:sty m:val="p"/>
            </m:rPr>
            <m:t>(</m:t>
          </m:r>
          <m:r>
            <m:t>O</m:t>
          </m:r>
          <m:r>
            <m:rPr>
              <m:sty m:val="p"/>
            </m:rPr>
            <m:t>)</m:t>
          </m:r>
          <m:r>
            <m:rPr>
              <m:sty m:val="p"/>
            </m:rPr>
            <m:t>=</m:t>
          </m:r>
          <m:r>
            <m:rPr>
              <m:sty m:val="p"/>
            </m:rPr>
            <m:t>−</m:t>
          </m:r>
          <m:r>
            <m:t>λ</m:t>
          </m:r>
          <m:sSub>
            <m:e>
              <m:r>
                <m:t>p</m:t>
              </m:r>
            </m:e>
            <m:sub>
              <m:r>
                <m:t>O</m:t>
              </m:r>
            </m:sub>
          </m:sSub>
          <m:r>
            <m:t>L</m:t>
          </m:r>
          <m:r>
            <m:rPr>
              <m:sty m:val="p"/>
            </m:rPr>
            <m:t>.</m:t>
          </m:r>
          <m:r>
            <m:t> </m:t>
          </m:r>
          <m:r>
            <m:rPr>
              <m:sty m:val="p"/>
            </m:rPr>
            <m:t>(</m:t>
          </m:r>
          <m:r>
            <m:t>14</m:t>
          </m:r>
          <m:r>
            <m:rPr>
              <m:sty m:val="p"/>
            </m:rPr>
            <m:t>)</m:t>
          </m:r>
        </m:oMath>
      </m:oMathPara>
    </w:p>
    <w:p>
      <w:pPr>
        <w:pStyle w:val="FirstParagraph"/>
      </w:pPr>
      <w:r>
        <w:rPr>
          <w:b/>
          <w:bCs/>
        </w:rPr>
        <w:t xml:space="preserve">Proposition 3 (Loss-aversion adoption threshold).</w:t>
      </w:r>
      <w:r>
        <w:t xml:space="preserve"> </w:t>
      </w:r>
      <w:r>
        <w:t xml:space="preserve">The voter supports the protective policy whenever</w:t>
      </w:r>
      <w:r>
        <w:t xml:space="preserve"> </w:t>
      </w:r>
      <m:oMath>
        <m:sSub>
          <m:e>
            <m:r>
              <m:t>p</m:t>
            </m:r>
          </m:e>
          <m:sub>
            <m:r>
              <m:t>O</m:t>
            </m:r>
          </m:sub>
        </m:sSub>
        <m:r>
          <m:rPr>
            <m:sty m:val="p"/>
          </m:rPr>
          <m:t>−</m:t>
        </m:r>
        <m:sSub>
          <m:e>
            <m:r>
              <m:t>p</m:t>
            </m:r>
          </m:e>
          <m:sub>
            <m:r>
              <m:t>M</m:t>
            </m:r>
          </m:sub>
        </m:sSub>
        <m:r>
          <m:rPr>
            <m:sty m:val="p"/>
          </m:rPr>
          <m:t>&gt;</m:t>
        </m:r>
        <m:sSub>
          <m:e>
            <m:r>
              <m:t>c</m:t>
            </m:r>
          </m:e>
          <m:sub>
            <m:r>
              <m:t>M</m:t>
            </m:r>
          </m:sub>
        </m:sSub>
        <m:r>
          <m:rPr>
            <m:sty m:val="p"/>
          </m:rPr>
          <m:t>/</m:t>
        </m:r>
        <m:r>
          <m:rPr>
            <m:sty m:val="p"/>
          </m:rPr>
          <m:t>(</m:t>
        </m:r>
        <m:r>
          <m:t>λ</m:t>
        </m:r>
        <m:r>
          <m:t>L</m:t>
        </m:r>
        <m:r>
          <m:rPr>
            <m:sty m:val="p"/>
          </m:rPr>
          <m:t>)</m:t>
        </m:r>
      </m:oMath>
      <w:r>
        <w:t xml:space="preserve">. The required perceived effectiveness of the policy decreases in both</w:t>
      </w:r>
      <w:r>
        <w:t xml:space="preserve"> </w:t>
      </w:r>
      <m:oMath>
        <m:r>
          <m:t>λ</m:t>
        </m:r>
      </m:oMath>
      <w:r>
        <w:t xml:space="preserve"> </w:t>
      </w:r>
      <w:r>
        <w:t xml:space="preserve">and</w:t>
      </w:r>
      <w:r>
        <w:t xml:space="preserve"> </w:t>
      </w:r>
      <m:oMath>
        <m:r>
          <m:t>L</m:t>
        </m:r>
      </m:oMath>
      <w:r>
        <w:t xml:space="preserve">.</w:t>
      </w:r>
    </w:p>
    <w:p>
      <w:pPr>
        <w:pStyle w:val="BodyText"/>
      </w:pPr>
      <w:r>
        <w:rPr>
          <w:b/>
          <w:bCs/>
        </w:rPr>
        <w:t xml:space="preserve">Proof.</w:t>
      </w:r>
      <w:r>
        <w:t xml:space="preserve"> </w:t>
      </w:r>
      <w:r>
        <w:t xml:space="preserve">Support for Meloni requires</w:t>
      </w:r>
      <w:r>
        <w:t xml:space="preserve"> </w:t>
      </w:r>
      <m:oMath>
        <m:r>
          <m:t>E</m:t>
        </m:r>
        <m:r>
          <m:t>U</m:t>
        </m:r>
        <m:r>
          <m:rPr>
            <m:sty m:val="p"/>
          </m:rPr>
          <m:t>(</m:t>
        </m:r>
        <m:r>
          <m:t>M</m:t>
        </m:r>
        <m:r>
          <m:rPr>
            <m:sty m:val="p"/>
          </m:rPr>
          <m:t>)</m:t>
        </m:r>
        <m:r>
          <m:rPr>
            <m:sty m:val="p"/>
          </m:rPr>
          <m:t>&gt;</m:t>
        </m:r>
        <m:r>
          <m:t>E</m:t>
        </m:r>
        <m:r>
          <m:t>U</m:t>
        </m:r>
        <m:r>
          <m:rPr>
            <m:sty m:val="p"/>
          </m:rPr>
          <m:t>(</m:t>
        </m:r>
        <m:r>
          <m:t>O</m:t>
        </m:r>
        <m:r>
          <m:rPr>
            <m:sty m:val="p"/>
          </m:rPr>
          <m:t>)</m:t>
        </m:r>
      </m:oMath>
      <w:r>
        <w:t xml:space="preserve">. From equation (14),</w:t>
      </w:r>
      <w:r>
        <w:t xml:space="preserve"> </w:t>
      </w:r>
      <m:oMath>
        <m:r>
          <m:rPr>
            <m:sty m:val="p"/>
          </m:rPr>
          <m:t>−</m:t>
        </m:r>
        <m:r>
          <m:t>λ</m:t>
        </m:r>
        <m:sSub>
          <m:e>
            <m:r>
              <m:t>p</m:t>
            </m:r>
          </m:e>
          <m:sub>
            <m:r>
              <m:t>M</m:t>
            </m:r>
          </m:sub>
        </m:sSub>
        <m:r>
          <m:t>L</m:t>
        </m:r>
        <m:r>
          <m:rPr>
            <m:sty m:val="p"/>
          </m:rPr>
          <m:t>−</m:t>
        </m:r>
        <m:sSub>
          <m:e>
            <m:r>
              <m:t>c</m:t>
            </m:r>
          </m:e>
          <m:sub>
            <m:r>
              <m:t>M</m:t>
            </m:r>
          </m:sub>
        </m:sSub>
        <m:r>
          <m:rPr>
            <m:sty m:val="p"/>
          </m:rPr>
          <m:t>&gt;</m:t>
        </m:r>
        <m:r>
          <m:rPr>
            <m:sty m:val="p"/>
          </m:rPr>
          <m:t>−</m:t>
        </m:r>
        <m:r>
          <m:t>λ</m:t>
        </m:r>
        <m:sSub>
          <m:e>
            <m:r>
              <m:t>p</m:t>
            </m:r>
          </m:e>
          <m:sub>
            <m:r>
              <m:t>O</m:t>
            </m:r>
          </m:sub>
        </m:sSub>
        <m:r>
          <m:t>L</m:t>
        </m:r>
      </m:oMath>
      <w:r>
        <w:t xml:space="preserve">. Rearranging yields</w:t>
      </w:r>
      <w:r>
        <w:t xml:space="preserve"> </w:t>
      </w:r>
      <m:oMath>
        <m:r>
          <m:t>λ</m:t>
        </m:r>
        <m:r>
          <m:t>L</m:t>
        </m:r>
        <m:r>
          <m:rPr>
            <m:sty m:val="p"/>
          </m:rPr>
          <m:t>(</m:t>
        </m:r>
        <m:sSub>
          <m:e>
            <m:r>
              <m:t>p</m:t>
            </m:r>
          </m:e>
          <m:sub>
            <m:r>
              <m:t>O</m:t>
            </m:r>
          </m:sub>
        </m:sSub>
        <m:r>
          <m:rPr>
            <m:sty m:val="p"/>
          </m:rPr>
          <m:t>−</m:t>
        </m:r>
        <m:sSub>
          <m:e>
            <m:r>
              <m:t>p</m:t>
            </m:r>
          </m:e>
          <m:sub>
            <m:r>
              <m:t>M</m:t>
            </m:r>
          </m:sub>
        </m:sSub>
        <m:r>
          <m:rPr>
            <m:sty m:val="p"/>
          </m:rPr>
          <m:t>)</m:t>
        </m:r>
        <m:r>
          <m:rPr>
            <m:sty m:val="p"/>
          </m:rPr>
          <m:t>&gt;</m:t>
        </m:r>
        <m:sSub>
          <m:e>
            <m:r>
              <m:t>c</m:t>
            </m:r>
          </m:e>
          <m:sub>
            <m:r>
              <m:t>M</m:t>
            </m:r>
          </m:sub>
        </m:sSub>
      </m:oMath>
      <w:r>
        <w:t xml:space="preserve"> </w:t>
      </w:r>
      <w:r>
        <w:t xml:space="preserve">and therefore</w:t>
      </w:r>
      <w:r>
        <w:t xml:space="preserve"> </w:t>
      </w:r>
      <m:oMath>
        <m:sSub>
          <m:e>
            <m:r>
              <m:t>p</m:t>
            </m:r>
          </m:e>
          <m:sub>
            <m:r>
              <m:t>O</m:t>
            </m:r>
          </m:sub>
        </m:sSub>
        <m:r>
          <m:rPr>
            <m:sty m:val="p"/>
          </m:rPr>
          <m:t>−</m:t>
        </m:r>
        <m:sSub>
          <m:e>
            <m:r>
              <m:t>p</m:t>
            </m:r>
          </m:e>
          <m:sub>
            <m:r>
              <m:t>M</m:t>
            </m:r>
          </m:sub>
        </m:sSub>
        <m:r>
          <m:rPr>
            <m:sty m:val="p"/>
          </m:rPr>
          <m:t>&gt;</m:t>
        </m:r>
        <m:sSub>
          <m:e>
            <m:r>
              <m:t>c</m:t>
            </m:r>
          </m:e>
          <m:sub>
            <m:r>
              <m:t>M</m:t>
            </m:r>
          </m:sub>
        </m:sSub>
        <m:r>
          <m:rPr>
            <m:sty m:val="p"/>
          </m:rPr>
          <m:t>/</m:t>
        </m:r>
        <m:r>
          <m:rPr>
            <m:sty m:val="p"/>
          </m:rPr>
          <m:t>(</m:t>
        </m:r>
        <m:r>
          <m:t>λ</m:t>
        </m:r>
        <m:r>
          <m:t>L</m:t>
        </m:r>
        <m:r>
          <m:rPr>
            <m:sty m:val="p"/>
          </m:rPr>
          <m:t>)</m:t>
        </m:r>
      </m:oMath>
      <w:r>
        <w:t xml:space="preserve">. The right-hand side is decreasing in</w:t>
      </w:r>
      <w:r>
        <w:t xml:space="preserve"> </w:t>
      </w:r>
      <m:oMath>
        <m:r>
          <m:t>λ</m:t>
        </m:r>
      </m:oMath>
      <w:r>
        <w:t xml:space="preserve"> </w:t>
      </w:r>
      <w:r>
        <w:t xml:space="preserve">and</w:t>
      </w:r>
      <w:r>
        <w:t xml:space="preserve"> </w:t>
      </w:r>
      <m:oMath>
        <m:r>
          <m:t>L</m:t>
        </m:r>
      </m:oMath>
      <w:r>
        <w:t xml:space="preserve">.</w:t>
      </w:r>
      <w:r>
        <w:t xml:space="preserve"> </w:t>
      </w:r>
      <w:r>
        <w:t xml:space="preserve">5A1</w:t>
      </w:r>
    </w:p>
    <w:p>
      <w:pPr>
        <w:pStyle w:val="BodyText"/>
      </w:pPr>
      <w:r>
        <w:t xml:space="preserve">Only a small perceived reduction in risk is needed when the imagined loss is large or losses are heavily weighted. The policy can therefore win support even if voters believe its direct effectiveness is modest.</w:t>
      </w:r>
    </w:p>
    <w:bookmarkEnd w:id="22"/>
    <w:bookmarkStart w:id="23" w:name="ambiguity-and-the-maxmin-criterion"/>
    <w:p>
      <w:pPr>
        <w:pStyle w:val="Heading3"/>
      </w:pPr>
      <w:r>
        <w:t xml:space="preserve">7.2. Ambiguity and the maxmin criterion</w:t>
      </w:r>
    </w:p>
    <w:p>
      <w:pPr>
        <w:pStyle w:val="FirstParagraph"/>
      </w:pPr>
      <w:r>
        <w:t xml:space="preserve">The Ceuta shock also produces ambiguity: voters do not know the correct probability model for onward movements. Let</w:t>
      </w:r>
      <w:r>
        <w:t xml:space="preserve"> </w:t>
      </w:r>
      <m:oMath>
        <m:r>
          <m:rPr>
            <m:sty m:val="p"/>
          </m:rPr>
          <m:t>Π</m:t>
        </m:r>
      </m:oMath>
      <w:r>
        <w:t xml:space="preserve"> </w:t>
      </w:r>
      <w:r>
        <w:t xml:space="preserve">be a set of plausible distributions and let</w:t>
      </w:r>
      <w:r>
        <w:t xml:space="preserve"> </w:t>
      </w:r>
      <m:oMath>
        <m:acc>
          <m:accPr>
            <m:chr m:val="‾"/>
          </m:accPr>
          <m:e>
            <m:r>
              <m:t>π</m:t>
            </m:r>
          </m:e>
        </m:acc>
        <m:r>
          <m:rPr>
            <m:sty m:val="p"/>
          </m:rPr>
          <m:t>=</m:t>
        </m:r>
        <m:sSub>
          <m:e>
            <m:r>
              <m:rPr>
                <m:sty m:val="p"/>
              </m:rPr>
              <m:t>max</m:t>
            </m:r>
          </m:e>
          <m:sub>
            <m:r>
              <m:t>π</m:t>
            </m:r>
            <m:r>
              <m:rPr>
                <m:sty m:val="p"/>
              </m:rPr>
              <m:t>∈</m:t>
            </m:r>
            <m:r>
              <m:rPr>
                <m:sty m:val="p"/>
              </m:rPr>
              <m:t>Π</m:t>
            </m:r>
          </m:sub>
        </m:sSub>
        <m:r>
          <m:t>π</m:t>
        </m:r>
      </m:oMath>
      <w:r>
        <w:t xml:space="preserve"> </w:t>
      </w:r>
      <w:r>
        <w:t xml:space="preserve">be the worst-case probability. A maxmin voter evaluates action</w:t>
      </w:r>
      <w:r>
        <w:t xml:space="preserve"> </w:t>
      </w:r>
      <m:oMath>
        <m:r>
          <m:t>a</m:t>
        </m:r>
      </m:oMath>
      <w:r>
        <w:t xml:space="preserve"> </w:t>
      </w:r>
      <w:r>
        <w:t xml:space="preserve">according to:</w:t>
      </w:r>
    </w:p>
    <w:p>
      <w:pPr>
        <w:pStyle w:val="BodyText"/>
      </w:pPr>
      <m:oMathPara>
        <m:oMathParaPr>
          <m:jc m:val="center"/>
        </m:oMathParaPr>
        <m:oMath>
          <m:r>
            <m:t>W</m:t>
          </m:r>
          <m:r>
            <m:rPr>
              <m:sty m:val="p"/>
            </m:rPr>
            <m:t>(</m:t>
          </m:r>
          <m:r>
            <m:t>a</m:t>
          </m:r>
          <m:r>
            <m:rPr>
              <m:sty m:val="p"/>
            </m:rPr>
            <m:t>)</m:t>
          </m:r>
          <m:r>
            <m:rPr>
              <m:sty m:val="p"/>
            </m:rPr>
            <m:t>=</m:t>
          </m:r>
          <m:limLow>
            <m:e>
              <m:r>
                <m:rPr>
                  <m:sty m:val="p"/>
                </m:rPr>
                <m:t>min</m:t>
              </m:r>
            </m:e>
            <m:lim>
              <m:r>
                <m:t>π</m:t>
              </m:r>
              <m:r>
                <m:rPr>
                  <m:sty m:val="p"/>
                </m:rPr>
                <m:t>∈</m:t>
              </m:r>
              <m:r>
                <m:rPr>
                  <m:sty m:val="p"/>
                </m:rPr>
                <m:t>Π</m:t>
              </m:r>
            </m:lim>
          </m:limLow>
          <m:sSub>
            <m:e>
              <m:r>
                <m:t>E</m:t>
              </m:r>
            </m:e>
            <m:sub>
              <m:r>
                <m:t>π</m:t>
              </m:r>
            </m:sub>
          </m:sSub>
          <m:r>
            <m:rPr>
              <m:sty m:val="p"/>
            </m:rPr>
            <m:t>[</m:t>
          </m:r>
          <m:r>
            <m:t>U</m:t>
          </m:r>
          <m:r>
            <m:rPr>
              <m:sty m:val="p"/>
            </m:rPr>
            <m:t>(</m:t>
          </m:r>
          <m:r>
            <m:t>a</m:t>
          </m:r>
          <m:r>
            <m:rPr>
              <m:sty m:val="p"/>
            </m:rPr>
            <m:t>,</m:t>
          </m:r>
          <m:r>
            <m:t>θ</m:t>
          </m:r>
          <m:r>
            <m:rPr>
              <m:sty m:val="p"/>
            </m:rPr>
            <m:t>)</m:t>
          </m:r>
          <m:r>
            <m:rPr>
              <m:sty m:val="p"/>
            </m:rPr>
            <m:t>]</m:t>
          </m:r>
          <m:r>
            <m:rPr>
              <m:sty m:val="p"/>
            </m:rPr>
            <m:t>.</m:t>
          </m:r>
          <m:r>
            <m:t> </m:t>
          </m:r>
          <m:r>
            <m:rPr>
              <m:sty m:val="p"/>
            </m:rPr>
            <m:t>(</m:t>
          </m:r>
          <m:r>
            <m:t>15</m:t>
          </m:r>
          <m:r>
            <m:rPr>
              <m:sty m:val="p"/>
            </m:rPr>
            <m:t>)</m:t>
          </m:r>
        </m:oMath>
      </m:oMathPara>
    </w:p>
    <w:p>
      <w:pPr>
        <w:pStyle w:val="FirstParagraph"/>
      </w:pPr>
      <w:r>
        <w:t xml:space="preserve">Let</w:t>
      </w:r>
      <w:r>
        <w:t xml:space="preserve"> </w:t>
      </w:r>
      <m:oMath>
        <m:r>
          <m:t>C</m:t>
        </m:r>
      </m:oMath>
      <w:r>
        <w:t xml:space="preserve"> </w:t>
      </w:r>
      <w:r>
        <w:t xml:space="preserve">denote controls,</w:t>
      </w:r>
      <w:r>
        <w:t xml:space="preserve"> </w:t>
      </w:r>
      <m:oMath>
        <m:r>
          <m:t>N</m:t>
        </m:r>
      </m:oMath>
      <w:r>
        <w:t xml:space="preserve"> </w:t>
      </w:r>
      <w:r>
        <w:t xml:space="preserve">no controls,</w:t>
      </w:r>
      <w:r>
        <w:t xml:space="preserve"> </w:t>
      </w:r>
      <m:oMath>
        <m:r>
          <m:t>e</m:t>
        </m:r>
        <m:r>
          <m:rPr>
            <m:sty m:val="p"/>
          </m:rPr>
          <m:t>∈</m:t>
        </m:r>
        <m:r>
          <m:rPr>
            <m:sty m:val="p"/>
          </m:rPr>
          <m:t>[</m:t>
        </m:r>
        <m:r>
          <m:t>0</m:t>
        </m:r>
        <m:r>
          <m:rPr>
            <m:sty m:val="p"/>
          </m:rPr>
          <m:t>,</m:t>
        </m:r>
        <m:r>
          <m:t>1</m:t>
        </m:r>
        <m:r>
          <m:rPr>
            <m:sty m:val="p"/>
          </m:rPr>
          <m:t>]</m:t>
        </m:r>
      </m:oMath>
      <w:r>
        <w:t xml:space="preserve"> </w:t>
      </w:r>
      <w:r>
        <w:t xml:space="preserve">perceived effectiveness and</w:t>
      </w:r>
      <w:r>
        <w:t xml:space="preserve"> </w:t>
      </w:r>
      <m:oMath>
        <m:r>
          <m:t>c</m:t>
        </m:r>
      </m:oMath>
      <w:r>
        <w:t xml:space="preserve"> </w:t>
      </w:r>
      <w:r>
        <w:t xml:space="preserve">the policy cost.</w:t>
      </w:r>
    </w:p>
    <w:p>
      <w:pPr>
        <w:pStyle w:val="BodyText"/>
      </w:pPr>
      <m:oMathPara>
        <m:oMathParaPr>
          <m:jc m:val="center"/>
        </m:oMathParaPr>
        <m:oMath>
          <m:r>
            <m:t>W</m:t>
          </m:r>
          <m:r>
            <m:rPr>
              <m:sty m:val="p"/>
            </m:rPr>
            <m:t>(</m:t>
          </m:r>
          <m:r>
            <m:t>C</m:t>
          </m:r>
          <m:r>
            <m:rPr>
              <m:sty m:val="p"/>
            </m:rPr>
            <m:t>)</m:t>
          </m:r>
          <m:r>
            <m:rPr>
              <m:sty m:val="p"/>
            </m:rPr>
            <m:t>=</m:t>
          </m:r>
          <m:r>
            <m:rPr>
              <m:sty m:val="p"/>
            </m:rPr>
            <m:t>−</m:t>
          </m:r>
          <m:r>
            <m:t>c</m:t>
          </m:r>
          <m:r>
            <m:rPr>
              <m:sty m:val="p"/>
            </m:rPr>
            <m:t>−</m:t>
          </m:r>
          <m:acc>
            <m:accPr>
              <m:chr m:val="‾"/>
            </m:accPr>
            <m:e>
              <m:r>
                <m:t>π</m:t>
              </m:r>
            </m:e>
          </m:acc>
          <m:r>
            <m:rPr>
              <m:sty m:val="p"/>
            </m:rPr>
            <m:t>(</m:t>
          </m:r>
          <m:r>
            <m:t>1</m:t>
          </m:r>
          <m:r>
            <m:rPr>
              <m:sty m:val="p"/>
            </m:rPr>
            <m:t>−</m:t>
          </m:r>
          <m:r>
            <m:t>e</m:t>
          </m:r>
          <m:r>
            <m:rPr>
              <m:sty m:val="p"/>
            </m:rPr>
            <m:t>)</m:t>
          </m:r>
          <m:r>
            <m:t>L</m:t>
          </m:r>
          <m:r>
            <m:rPr>
              <m:sty m:val="p"/>
            </m:rPr>
            <m:t>,</m:t>
          </m:r>
          <m:r>
            <m:t> </m:t>
          </m:r>
          <m:r>
            <m:t>W</m:t>
          </m:r>
          <m:r>
            <m:rPr>
              <m:sty m:val="p"/>
            </m:rPr>
            <m:t>(</m:t>
          </m:r>
          <m:r>
            <m:t>N</m:t>
          </m:r>
          <m:r>
            <m:rPr>
              <m:sty m:val="p"/>
            </m:rPr>
            <m:t>)</m:t>
          </m:r>
          <m:r>
            <m:rPr>
              <m:sty m:val="p"/>
            </m:rPr>
            <m:t>=</m:t>
          </m:r>
          <m:r>
            <m:rPr>
              <m:sty m:val="p"/>
            </m:rPr>
            <m:t>−</m:t>
          </m:r>
          <m:acc>
            <m:accPr>
              <m:chr m:val="‾"/>
            </m:accPr>
            <m:e>
              <m:r>
                <m:t>π</m:t>
              </m:r>
            </m:e>
          </m:acc>
          <m:r>
            <m:t>L</m:t>
          </m:r>
          <m:r>
            <m:rPr>
              <m:sty m:val="p"/>
            </m:rPr>
            <m:t>.</m:t>
          </m:r>
          <m:r>
            <m:t> </m:t>
          </m:r>
          <m:r>
            <m:rPr>
              <m:sty m:val="p"/>
            </m:rPr>
            <m:t>(</m:t>
          </m:r>
          <m:r>
            <m:t>16</m:t>
          </m:r>
          <m:r>
            <m:rPr>
              <m:sty m:val="p"/>
            </m:rPr>
            <m:t>)</m:t>
          </m:r>
        </m:oMath>
      </m:oMathPara>
    </w:p>
    <w:p>
      <w:pPr>
        <w:pStyle w:val="FirstParagraph"/>
      </w:pPr>
      <w:r>
        <w:rPr>
          <w:b/>
          <w:bCs/>
        </w:rPr>
        <w:t xml:space="preserve">Proposition 4 (Robust-control threshold).</w:t>
      </w:r>
      <w:r>
        <w:t xml:space="preserve"> </w:t>
      </w:r>
      <w:r>
        <w:t xml:space="preserve">An ambiguity-averse voter selects controls if and only if</w:t>
      </w:r>
      <w:r>
        <w:t xml:space="preserve"> </w:t>
      </w:r>
      <m:oMath>
        <m:acc>
          <m:accPr>
            <m:chr m:val="‾"/>
          </m:accPr>
          <m:e>
            <m:r>
              <m:t>π</m:t>
            </m:r>
          </m:e>
        </m:acc>
        <m:r>
          <m:rPr>
            <m:sty m:val="p"/>
          </m:rPr>
          <m:t>&gt;</m:t>
        </m:r>
        <m:r>
          <m:t>c</m:t>
        </m:r>
        <m:r>
          <m:rPr>
            <m:sty m:val="p"/>
          </m:rPr>
          <m:t>/</m:t>
        </m:r>
        <m:r>
          <m:rPr>
            <m:sty m:val="p"/>
          </m:rPr>
          <m:t>(</m:t>
        </m:r>
        <m:r>
          <m:t>e</m:t>
        </m:r>
        <m:r>
          <m:t>L</m:t>
        </m:r>
        <m:r>
          <m:rPr>
            <m:sty m:val="p"/>
          </m:rPr>
          <m:t>)</m:t>
        </m:r>
      </m:oMath>
      <w:r>
        <w:t xml:space="preserve">. A communication strategy can increase support for controls by enlarging the perceived upper bound</w:t>
      </w:r>
      <w:r>
        <w:t xml:space="preserve"> </w:t>
      </w:r>
      <m:oMath>
        <m:acc>
          <m:accPr>
            <m:chr m:val="‾"/>
          </m:accPr>
          <m:e>
            <m:r>
              <m:t>π</m:t>
            </m:r>
          </m:e>
        </m:acc>
      </m:oMath>
      <w:r>
        <w:t xml:space="preserve"> </w:t>
      </w:r>
      <w:r>
        <w:t xml:space="preserve">even when it does not change the mean probability</w:t>
      </w:r>
      <w:r>
        <w:t xml:space="preserve"> </w:t>
      </w:r>
      <m:oMath>
        <m:r>
          <m:t>E</m:t>
        </m:r>
        <m:r>
          <m:rPr>
            <m:sty m:val="p"/>
          </m:rPr>
          <m:t>[</m:t>
        </m:r>
        <m:r>
          <m:t>π</m:t>
        </m:r>
        <m:r>
          <m:rPr>
            <m:sty m:val="p"/>
          </m:rPr>
          <m:t>]</m:t>
        </m:r>
      </m:oMath>
      <w:r>
        <w:t xml:space="preserve">.</w:t>
      </w:r>
    </w:p>
    <w:p>
      <w:pPr>
        <w:pStyle w:val="BodyText"/>
      </w:pPr>
      <w:r>
        <w:rPr>
          <w:b/>
          <w:bCs/>
        </w:rPr>
        <w:t xml:space="preserve">Proof.</w:t>
      </w:r>
      <w:r>
        <w:t xml:space="preserve"> </w:t>
      </w:r>
      <w:r>
        <w:t xml:space="preserve">Controls are preferred when</w:t>
      </w:r>
      <w:r>
        <w:t xml:space="preserve"> </w:t>
      </w:r>
      <m:oMath>
        <m:r>
          <m:t>W</m:t>
        </m:r>
        <m:r>
          <m:rPr>
            <m:sty m:val="p"/>
          </m:rPr>
          <m:t>(</m:t>
        </m:r>
        <m:r>
          <m:t>C</m:t>
        </m:r>
        <m:r>
          <m:rPr>
            <m:sty m:val="p"/>
          </m:rPr>
          <m:t>)</m:t>
        </m:r>
        <m:r>
          <m:rPr>
            <m:sty m:val="p"/>
          </m:rPr>
          <m:t>&gt;</m:t>
        </m:r>
        <m:r>
          <m:t>W</m:t>
        </m:r>
        <m:r>
          <m:rPr>
            <m:sty m:val="p"/>
          </m:rPr>
          <m:t>(</m:t>
        </m:r>
        <m:r>
          <m:t>N</m:t>
        </m:r>
        <m:r>
          <m:rPr>
            <m:sty m:val="p"/>
          </m:rPr>
          <m:t>)</m:t>
        </m:r>
      </m:oMath>
      <w:r>
        <w:t xml:space="preserve">. Using equation (16),</w:t>
      </w:r>
      <w:r>
        <w:t xml:space="preserve"> </w:t>
      </w:r>
      <m:oMath>
        <m:r>
          <m:rPr>
            <m:sty m:val="p"/>
          </m:rPr>
          <m:t>−</m:t>
        </m:r>
        <m:r>
          <m:t>c</m:t>
        </m:r>
        <m:r>
          <m:rPr>
            <m:sty m:val="p"/>
          </m:rPr>
          <m:t>−</m:t>
        </m:r>
        <m:acc>
          <m:accPr>
            <m:chr m:val="‾"/>
          </m:accPr>
          <m:e>
            <m:r>
              <m:t>π</m:t>
            </m:r>
          </m:e>
        </m:acc>
        <m:r>
          <m:rPr>
            <m:sty m:val="p"/>
          </m:rPr>
          <m:t>(</m:t>
        </m:r>
        <m:r>
          <m:t>1</m:t>
        </m:r>
        <m:r>
          <m:rPr>
            <m:sty m:val="p"/>
          </m:rPr>
          <m:t>−</m:t>
        </m:r>
        <m:r>
          <m:t>e</m:t>
        </m:r>
        <m:r>
          <m:rPr>
            <m:sty m:val="p"/>
          </m:rPr>
          <m:t>)</m:t>
        </m:r>
        <m:r>
          <m:t>L</m:t>
        </m:r>
        <m:r>
          <m:rPr>
            <m:sty m:val="p"/>
          </m:rPr>
          <m:t>&gt;</m:t>
        </m:r>
        <m:r>
          <m:rPr>
            <m:sty m:val="p"/>
          </m:rPr>
          <m:t>−</m:t>
        </m:r>
        <m:acc>
          <m:accPr>
            <m:chr m:val="‾"/>
          </m:accPr>
          <m:e>
            <m:r>
              <m:t>π</m:t>
            </m:r>
          </m:e>
        </m:acc>
        <m:r>
          <m:t>L</m:t>
        </m:r>
      </m:oMath>
      <w:r>
        <w:t xml:space="preserve">. After cancellation,</w:t>
      </w:r>
      <w:r>
        <w:t xml:space="preserve"> </w:t>
      </w:r>
      <m:oMath>
        <m:acc>
          <m:accPr>
            <m:chr m:val="‾"/>
          </m:accPr>
          <m:e>
            <m:r>
              <m:t>π</m:t>
            </m:r>
          </m:e>
        </m:acc>
        <m:r>
          <m:t>e</m:t>
        </m:r>
        <m:r>
          <m:t>L</m:t>
        </m:r>
        <m:r>
          <m:rPr>
            <m:sty m:val="p"/>
          </m:rPr>
          <m:t>&gt;</m:t>
        </m:r>
        <m:r>
          <m:t>c</m:t>
        </m:r>
      </m:oMath>
      <w:r>
        <w:t xml:space="preserve">. Thus</w:t>
      </w:r>
      <w:r>
        <w:t xml:space="preserve"> </w:t>
      </w:r>
      <m:oMath>
        <m:acc>
          <m:accPr>
            <m:chr m:val="‾"/>
          </m:accPr>
          <m:e>
            <m:r>
              <m:t>π</m:t>
            </m:r>
          </m:e>
        </m:acc>
        <m:r>
          <m:rPr>
            <m:sty m:val="p"/>
          </m:rPr>
          <m:t>&gt;</m:t>
        </m:r>
        <m:r>
          <m:t>c</m:t>
        </m:r>
        <m:r>
          <m:rPr>
            <m:sty m:val="p"/>
          </m:rPr>
          <m:t>/</m:t>
        </m:r>
        <m:r>
          <m:rPr>
            <m:sty m:val="p"/>
          </m:rPr>
          <m:t>(</m:t>
        </m:r>
        <m:r>
          <m:t>e</m:t>
        </m:r>
        <m:r>
          <m:t>L</m:t>
        </m:r>
        <m:r>
          <m:rPr>
            <m:sty m:val="p"/>
          </m:rPr>
          <m:t>)</m:t>
        </m:r>
      </m:oMath>
      <w:r>
        <w:t xml:space="preserve">. Since the decision depends on the upper bound rather than the mean, a worst-case frame can be effective without altering the central estimate.</w:t>
      </w:r>
      <w:r>
        <w:t xml:space="preserve"> </w:t>
      </w:r>
      <w:r>
        <w:t xml:space="preserve">5A1</w:t>
      </w:r>
    </w:p>
    <w:p>
      <w:pPr>
        <w:pStyle w:val="BodyText"/>
      </w:pPr>
      <w:r>
        <w:t xml:space="preserve">S</w:t>
      </w:r>
      <w:r>
        <w:t xml:space="preserve">0E1nchez’s base-rate argument primarily lowers the mean or modal estimate. Meloni’s framing emphasises the upper tail. For ambiguity-averse voters, the second intervention may dominate because the relevant object is</w:t>
      </w:r>
      <w:r>
        <w:t xml:space="preserve"> </w:t>
      </w:r>
      <m:oMath>
        <m:acc>
          <m:accPr>
            <m:chr m:val="‾"/>
          </m:accPr>
          <m:e>
            <m:r>
              <m:t>π</m:t>
            </m:r>
          </m:e>
        </m:acc>
      </m:oMath>
      <w:r>
        <w:t xml:space="preserve"> </w:t>
      </w:r>
      <w:r>
        <w:t xml:space="preserve">rather than</w:t>
      </w:r>
      <w:r>
        <w:t xml:space="preserve"> </w:t>
      </w:r>
      <m:oMath>
        <m:r>
          <m:t>E</m:t>
        </m:r>
        <m:r>
          <m:rPr>
            <m:sty m:val="p"/>
          </m:rPr>
          <m:t>[</m:t>
        </m:r>
        <m:r>
          <m:t>π</m:t>
        </m:r>
        <m:r>
          <m:rPr>
            <m:sty m:val="p"/>
          </m:rPr>
          <m:t>]</m:t>
        </m:r>
      </m:oMath>
      <w:r>
        <w:t xml:space="preserve">.</w:t>
      </w:r>
    </w:p>
    <w:bookmarkEnd w:id="23"/>
    <w:bookmarkEnd w:id="24"/>
    <w:bookmarkStart w:id="27" w:name="X41c47b1f4c9029c9663dd710eb6cbd3612940b5"/>
    <w:p>
      <w:pPr>
        <w:pStyle w:val="Heading2"/>
      </w:pPr>
      <w:r>
        <w:t xml:space="preserve">8. Costly signalling, cheap talk and commitment</w:t>
      </w:r>
    </w:p>
    <w:bookmarkStart w:id="25" w:name="X7cd39d0bf0eb625a8c18a8e7ac1777df87d5048"/>
    <w:p>
      <w:pPr>
        <w:pStyle w:val="Heading3"/>
      </w:pPr>
      <w:r>
        <w:t xml:space="preserve">8.1. Government types and separating behaviour</w:t>
      </w:r>
    </w:p>
    <w:p>
      <w:pPr>
        <w:pStyle w:val="FirstParagraph"/>
      </w:pPr>
      <w:r>
        <w:t xml:space="preserve">Suppose the Italian government has a privately known type</w:t>
      </w:r>
      <w:r>
        <w:t xml:space="preserve"> </w:t>
      </w:r>
      <m:oMath>
        <m:r>
          <m:t>t</m:t>
        </m:r>
        <m:r>
          <m:rPr>
            <m:sty m:val="p"/>
          </m:rPr>
          <m:t>∈</m:t>
        </m:r>
        <m:r>
          <m:rPr>
            <m:sty m:val="p"/>
          </m:rPr>
          <m:t>{</m:t>
        </m:r>
        <m:r>
          <m:t>H</m:t>
        </m:r>
        <m:r>
          <m:rPr>
            <m:sty m:val="p"/>
          </m:rPr>
          <m:t>,</m:t>
        </m:r>
        <m:r>
          <m:t>L</m:t>
        </m:r>
        <m:r>
          <m:rPr>
            <m:sty m:val="p"/>
          </m:rPr>
          <m:t>}</m:t>
        </m:r>
      </m:oMath>
      <w:r>
        <w:t xml:space="preserve">. Type</w:t>
      </w:r>
      <w:r>
        <w:t xml:space="preserve"> </w:t>
      </w:r>
      <m:oMath>
        <m:r>
          <m:t>H</m:t>
        </m:r>
      </m:oMath>
      <w:r>
        <w:t xml:space="preserve"> </w:t>
      </w:r>
      <w:r>
        <w:t xml:space="preserve">is strongly committed to restrictive border enforcement; type</w:t>
      </w:r>
      <w:r>
        <w:t xml:space="preserve"> </w:t>
      </w:r>
      <m:oMath>
        <m:r>
          <m:t>L</m:t>
        </m:r>
      </m:oMath>
      <w:r>
        <w:t xml:space="preserve"> </w:t>
      </w:r>
      <w:r>
        <w:t xml:space="preserve">prefers symbolic rhetoric and finds actual controls more costly. Let</w:t>
      </w:r>
      <w:r>
        <w:t xml:space="preserve"> </w:t>
      </w:r>
      <m:oMath>
        <m:sSub>
          <m:e>
            <m:r>
              <m:t>c</m:t>
            </m:r>
          </m:e>
          <m:sub>
            <m:r>
              <m:t>H</m:t>
            </m:r>
          </m:sub>
        </m:sSub>
        <m:r>
          <m:rPr>
            <m:sty m:val="p"/>
          </m:rPr>
          <m:t>&lt;</m:t>
        </m:r>
        <m:sSub>
          <m:e>
            <m:r>
              <m:t>c</m:t>
            </m:r>
          </m:e>
          <m:sub>
            <m:r>
              <m:t>L</m:t>
            </m:r>
          </m:sub>
        </m:sSub>
      </m:oMath>
      <w:r>
        <w:t xml:space="preserve"> </w:t>
      </w:r>
      <w:r>
        <w:t xml:space="preserve">be the type-dependent cost of choosing</w:t>
      </w:r>
      <w:r>
        <w:t xml:space="preserve"> </w:t>
      </w:r>
      <m:oMath>
        <m:r>
          <m:t>C</m:t>
        </m:r>
      </m:oMath>
      <w:r>
        <w:t xml:space="preserve">.</w:t>
      </w:r>
    </w:p>
    <w:p>
      <w:pPr>
        <w:pStyle w:val="BodyText"/>
      </w:pPr>
      <w:r>
        <w:t xml:space="preserve">The government chooses</w:t>
      </w:r>
      <w:r>
        <w:t xml:space="preserve"> </w:t>
      </w:r>
      <m:oMath>
        <m:r>
          <m:t>C</m:t>
        </m:r>
      </m:oMath>
      <w:r>
        <w:t xml:space="preserve"> </w:t>
      </w:r>
      <w:r>
        <w:t xml:space="preserve">or</w:t>
      </w:r>
      <w:r>
        <w:t xml:space="preserve"> </w:t>
      </w:r>
      <m:oMath>
        <m:r>
          <m:t>N</m:t>
        </m:r>
      </m:oMath>
      <w:r>
        <w:t xml:space="preserve">. Let</w:t>
      </w:r>
      <w:r>
        <w:t xml:space="preserve"> </w:t>
      </w:r>
      <m:oMath>
        <m:sSub>
          <m:e>
            <m:r>
              <m:t>B</m:t>
            </m:r>
          </m:e>
          <m:sub>
            <m:r>
              <m:t>t</m:t>
            </m:r>
          </m:sub>
        </m:sSub>
        <m:r>
          <m:rPr>
            <m:sty m:val="p"/>
          </m:rPr>
          <m:t>(</m:t>
        </m:r>
        <m:r>
          <m:t>C</m:t>
        </m:r>
        <m:r>
          <m:rPr>
            <m:sty m:val="p"/>
          </m:rPr>
          <m:t>)</m:t>
        </m:r>
      </m:oMath>
      <w:r>
        <w:t xml:space="preserve"> </w:t>
      </w:r>
      <w:r>
        <w:t xml:space="preserve">and</w:t>
      </w:r>
      <w:r>
        <w:t xml:space="preserve"> </w:t>
      </w:r>
      <m:oMath>
        <m:sSub>
          <m:e>
            <m:r>
              <m:t>B</m:t>
            </m:r>
          </m:e>
          <m:sub>
            <m:r>
              <m:t>t</m:t>
            </m:r>
          </m:sub>
        </m:sSub>
        <m:r>
          <m:rPr>
            <m:sty m:val="p"/>
          </m:rPr>
          <m:t>(</m:t>
        </m:r>
        <m:r>
          <m:t>N</m:t>
        </m:r>
        <m:r>
          <m:rPr>
            <m:sty m:val="p"/>
          </m:rPr>
          <m:t>)</m:t>
        </m:r>
      </m:oMath>
      <w:r>
        <w:t xml:space="preserve"> </w:t>
      </w:r>
      <w:r>
        <w:t xml:space="preserve">be the electoral benefits to type</w:t>
      </w:r>
      <w:r>
        <w:t xml:space="preserve"> </w:t>
      </w:r>
      <m:oMath>
        <m:r>
          <m:t>t</m:t>
        </m:r>
      </m:oMath>
      <w:r>
        <w:t xml:space="preserve">. A separating equilibrium in which</w:t>
      </w:r>
      <w:r>
        <w:t xml:space="preserve"> </w:t>
      </w:r>
      <m:oMath>
        <m:r>
          <m:t>H</m:t>
        </m:r>
      </m:oMath>
      <w:r>
        <w:t xml:space="preserve"> </w:t>
      </w:r>
      <w:r>
        <w:t xml:space="preserve">chooses</w:t>
      </w:r>
      <w:r>
        <w:t xml:space="preserve"> </w:t>
      </w:r>
      <m:oMath>
        <m:r>
          <m:t>C</m:t>
        </m:r>
      </m:oMath>
      <w:r>
        <w:t xml:space="preserve"> </w:t>
      </w:r>
      <w:r>
        <w:t xml:space="preserve">and</w:t>
      </w:r>
      <w:r>
        <w:t xml:space="preserve"> </w:t>
      </w:r>
      <m:oMath>
        <m:r>
          <m:t>L</m:t>
        </m:r>
      </m:oMath>
      <w:r>
        <w:t xml:space="preserve"> </w:t>
      </w:r>
      <w:r>
        <w:t xml:space="preserve">chooses</w:t>
      </w:r>
      <w:r>
        <w:t xml:space="preserve"> </w:t>
      </w:r>
      <m:oMath>
        <m:r>
          <m:t>N</m:t>
        </m:r>
      </m:oMath>
      <w:r>
        <w:t xml:space="preserve"> </w:t>
      </w:r>
      <w:r>
        <w:t xml:space="preserve">requires:</w:t>
      </w:r>
    </w:p>
    <w:p>
      <w:pPr>
        <w:pStyle w:val="BodyText"/>
      </w:pPr>
      <m:oMathPara>
        <m:oMathParaPr>
          <m:jc m:val="center"/>
        </m:oMathParaPr>
        <m:oMath>
          <m:sSub>
            <m:e>
              <m:r>
                <m:t>B</m:t>
              </m:r>
            </m:e>
            <m:sub>
              <m:r>
                <m:t>H</m:t>
              </m:r>
            </m:sub>
          </m:sSub>
          <m:r>
            <m:rPr>
              <m:sty m:val="p"/>
            </m:rPr>
            <m:t>(</m:t>
          </m:r>
          <m:r>
            <m:t>C</m:t>
          </m:r>
          <m:r>
            <m:rPr>
              <m:sty m:val="p"/>
            </m:rPr>
            <m:t>)</m:t>
          </m:r>
          <m:r>
            <m:rPr>
              <m:sty m:val="p"/>
            </m:rPr>
            <m:t>−</m:t>
          </m:r>
          <m:sSub>
            <m:e>
              <m:r>
                <m:t>c</m:t>
              </m:r>
            </m:e>
            <m:sub>
              <m:r>
                <m:t>H</m:t>
              </m:r>
            </m:sub>
          </m:sSub>
          <m:r>
            <m:rPr>
              <m:sty m:val="p"/>
            </m:rPr>
            <m:t>≥</m:t>
          </m:r>
          <m:sSub>
            <m:e>
              <m:r>
                <m:t>B</m:t>
              </m:r>
            </m:e>
            <m:sub>
              <m:r>
                <m:t>H</m:t>
              </m:r>
            </m:sub>
          </m:sSub>
          <m:r>
            <m:rPr>
              <m:sty m:val="p"/>
            </m:rPr>
            <m:t>(</m:t>
          </m:r>
          <m:r>
            <m:t>N</m:t>
          </m:r>
          <m:r>
            <m:rPr>
              <m:sty m:val="p"/>
            </m:rPr>
            <m:t>)</m:t>
          </m:r>
          <m:r>
            <m:rPr>
              <m:sty m:val="p"/>
            </m:rPr>
            <m:t>,</m:t>
          </m:r>
          <m:r>
            <m:t> </m:t>
          </m:r>
          <m:r>
            <m:rPr>
              <m:sty m:val="p"/>
            </m:rPr>
            <m:t>(</m:t>
          </m:r>
          <m:r>
            <m:t>17</m:t>
          </m:r>
          <m:r>
            <m:rPr>
              <m:sty m:val="p"/>
            </m:rPr>
            <m:t>)</m:t>
          </m:r>
        </m:oMath>
      </m:oMathPara>
    </w:p>
    <w:p>
      <w:pPr>
        <w:pStyle w:val="FirstParagraph"/>
      </w:pPr>
      <m:oMathPara>
        <m:oMathParaPr>
          <m:jc m:val="center"/>
        </m:oMathParaPr>
        <m:oMath>
          <m:sSub>
            <m:e>
              <m:r>
                <m:t>B</m:t>
              </m:r>
            </m:e>
            <m:sub>
              <m:r>
                <m:t>L</m:t>
              </m:r>
            </m:sub>
          </m:sSub>
          <m:r>
            <m:rPr>
              <m:sty m:val="p"/>
            </m:rPr>
            <m:t>(</m:t>
          </m:r>
          <m:r>
            <m:t>C</m:t>
          </m:r>
          <m:r>
            <m:rPr>
              <m:sty m:val="p"/>
            </m:rPr>
            <m:t>)</m:t>
          </m:r>
          <m:r>
            <m:rPr>
              <m:sty m:val="p"/>
            </m:rPr>
            <m:t>−</m:t>
          </m:r>
          <m:sSub>
            <m:e>
              <m:r>
                <m:t>c</m:t>
              </m:r>
            </m:e>
            <m:sub>
              <m:r>
                <m:t>L</m:t>
              </m:r>
            </m:sub>
          </m:sSub>
          <m:r>
            <m:rPr>
              <m:sty m:val="p"/>
            </m:rPr>
            <m:t>≤</m:t>
          </m:r>
          <m:sSub>
            <m:e>
              <m:r>
                <m:t>B</m:t>
              </m:r>
            </m:e>
            <m:sub>
              <m:r>
                <m:t>L</m:t>
              </m:r>
            </m:sub>
          </m:sSub>
          <m:r>
            <m:rPr>
              <m:sty m:val="p"/>
            </m:rPr>
            <m:t>(</m:t>
          </m:r>
          <m:r>
            <m:t>N</m:t>
          </m:r>
          <m:r>
            <m:rPr>
              <m:sty m:val="p"/>
            </m:rPr>
            <m:t>)</m:t>
          </m:r>
          <m:r>
            <m:rPr>
              <m:sty m:val="p"/>
            </m:rPr>
            <m:t>,</m:t>
          </m:r>
          <m:r>
            <m:t> </m:t>
          </m:r>
          <m:r>
            <m:rPr>
              <m:sty m:val="p"/>
            </m:rPr>
            <m:t>(</m:t>
          </m:r>
          <m:r>
            <m:t>18</m:t>
          </m:r>
          <m:r>
            <m:rPr>
              <m:sty m:val="p"/>
            </m:rPr>
            <m:t>)</m:t>
          </m:r>
        </m:oMath>
      </m:oMathPara>
    </w:p>
    <w:p>
      <w:pPr>
        <w:pStyle w:val="FirstParagraph"/>
      </w:pPr>
      <m:oMathPara>
        <m:oMathParaPr>
          <m:jc m:val="center"/>
        </m:oMathParaPr>
        <m:oMath>
          <m:sSub>
            <m:e>
              <m:r>
                <m:t>c</m:t>
              </m:r>
            </m:e>
            <m:sub>
              <m:r>
                <m:t>H</m:t>
              </m:r>
            </m:sub>
          </m:sSub>
          <m:r>
            <m:rPr>
              <m:sty m:val="p"/>
            </m:rPr>
            <m:t>≤</m:t>
          </m:r>
          <m:sSub>
            <m:e>
              <m:r>
                <m:t>B</m:t>
              </m:r>
            </m:e>
            <m:sub>
              <m:r>
                <m:t>H</m:t>
              </m:r>
            </m:sub>
          </m:sSub>
          <m:r>
            <m:rPr>
              <m:sty m:val="p"/>
            </m:rPr>
            <m:t>(</m:t>
          </m:r>
          <m:r>
            <m:t>C</m:t>
          </m:r>
          <m:r>
            <m:rPr>
              <m:sty m:val="p"/>
            </m:rPr>
            <m:t>)</m:t>
          </m:r>
          <m:r>
            <m:rPr>
              <m:sty m:val="p"/>
            </m:rPr>
            <m:t>−</m:t>
          </m:r>
          <m:sSub>
            <m:e>
              <m:r>
                <m:t>B</m:t>
              </m:r>
            </m:e>
            <m:sub>
              <m:r>
                <m:t>H</m:t>
              </m:r>
            </m:sub>
          </m:sSub>
          <m:r>
            <m:rPr>
              <m:sty m:val="p"/>
            </m:rPr>
            <m:t>(</m:t>
          </m:r>
          <m:r>
            <m:t>N</m:t>
          </m:r>
          <m:r>
            <m:rPr>
              <m:sty m:val="p"/>
            </m:rPr>
            <m:t>)</m:t>
          </m:r>
          <m:r>
            <m:rPr>
              <m:sty m:val="p"/>
            </m:rPr>
            <m:t>≤</m:t>
          </m:r>
          <m:sSub>
            <m:e>
              <m:r>
                <m:t>c</m:t>
              </m:r>
            </m:e>
            <m:sub>
              <m:r>
                <m:t>L</m:t>
              </m:r>
            </m:sub>
          </m:sSub>
          <m:r>
            <m:t> </m:t>
          </m:r>
          <m:r>
            <m:rPr>
              <m:nor/>
              <m:sty m:val="p"/>
            </m:rPr>
            <m:t>(sufficient single-crossing form)</m:t>
          </m:r>
          <m:r>
            <m:rPr>
              <m:sty m:val="p"/>
            </m:rPr>
            <m:t>.</m:t>
          </m:r>
          <m:r>
            <m:t> </m:t>
          </m:r>
          <m:r>
            <m:rPr>
              <m:sty m:val="p"/>
            </m:rPr>
            <m:t>(</m:t>
          </m:r>
          <m:r>
            <m:t>19</m:t>
          </m:r>
          <m:r>
            <m:rPr>
              <m:sty m:val="p"/>
            </m:rPr>
            <m:t>)</m:t>
          </m:r>
        </m:oMath>
      </m:oMathPara>
    </w:p>
    <w:p>
      <w:pPr>
        <w:pStyle w:val="FirstParagraph"/>
      </w:pPr>
      <w:r>
        <w:rPr>
          <w:b/>
          <w:bCs/>
        </w:rPr>
        <w:t xml:space="preserve">Proposition 5 (Costly-signal equilibrium).</w:t>
      </w:r>
      <w:r>
        <w:t xml:space="preserve"> </w:t>
      </w:r>
      <w:r>
        <w:t xml:space="preserve">If the incremental electoral return from controls lies weakly between</w:t>
      </w:r>
      <w:r>
        <w:t xml:space="preserve"> </w:t>
      </w:r>
      <m:oMath>
        <m:sSub>
          <m:e>
            <m:r>
              <m:t>c</m:t>
            </m:r>
          </m:e>
          <m:sub>
            <m:r>
              <m:t>H</m:t>
            </m:r>
          </m:sub>
        </m:sSub>
      </m:oMath>
      <w:r>
        <w:t xml:space="preserve"> </w:t>
      </w:r>
      <w:r>
        <w:t xml:space="preserve">and</w:t>
      </w:r>
      <w:r>
        <w:t xml:space="preserve"> </w:t>
      </w:r>
      <m:oMath>
        <m:sSub>
          <m:e>
            <m:r>
              <m:t>c</m:t>
            </m:r>
          </m:e>
          <m:sub>
            <m:r>
              <m:t>L</m:t>
            </m:r>
          </m:sub>
        </m:sSub>
      </m:oMath>
      <w:r>
        <w:t xml:space="preserve">, there exists a separating perfect Bayesian equilibrium in which type</w:t>
      </w:r>
      <w:r>
        <w:t xml:space="preserve"> </w:t>
      </w:r>
      <m:oMath>
        <m:r>
          <m:t>H</m:t>
        </m:r>
      </m:oMath>
      <w:r>
        <w:t xml:space="preserve"> </w:t>
      </w:r>
      <w:r>
        <w:t xml:space="preserve">chooses controls, type</w:t>
      </w:r>
      <w:r>
        <w:t xml:space="preserve"> </w:t>
      </w:r>
      <m:oMath>
        <m:r>
          <m:t>L</m:t>
        </m:r>
      </m:oMath>
      <w:r>
        <w:t xml:space="preserve"> </w:t>
      </w:r>
      <w:r>
        <w:t xml:space="preserve">chooses inaction, and voters assign posterior probability one to</w:t>
      </w:r>
      <w:r>
        <w:t xml:space="preserve"> </w:t>
      </w:r>
      <m:oMath>
        <m:r>
          <m:t>H</m:t>
        </m:r>
      </m:oMath>
      <w:r>
        <w:t xml:space="preserve"> </w:t>
      </w:r>
      <w:r>
        <w:t xml:space="preserve">after observing controls.</w:t>
      </w:r>
    </w:p>
    <w:p>
      <w:pPr>
        <w:pStyle w:val="BodyText"/>
      </w:pPr>
      <w:r>
        <w:rPr>
          <w:b/>
          <w:bCs/>
        </w:rPr>
        <w:t xml:space="preserve">Proof.</w:t>
      </w:r>
      <w:r>
        <w:t xml:space="preserve"> </w:t>
      </w:r>
      <w:r>
        <w:t xml:space="preserve">Under the stated inequalities,</w:t>
      </w:r>
      <w:r>
        <w:t xml:space="preserve"> </w:t>
      </w:r>
      <m:oMath>
        <m:r>
          <m:t>C</m:t>
        </m:r>
      </m:oMath>
      <w:r>
        <w:t xml:space="preserve"> </w:t>
      </w:r>
      <w:r>
        <w:t xml:space="preserve">is incentive-compatible for</w:t>
      </w:r>
      <w:r>
        <w:t xml:space="preserve"> </w:t>
      </w:r>
      <m:oMath>
        <m:r>
          <m:t>H</m:t>
        </m:r>
      </m:oMath>
      <w:r>
        <w:t xml:space="preserve"> </w:t>
      </w:r>
      <w:r>
        <w:t xml:space="preserve">because its incremental benefit covers</w:t>
      </w:r>
      <w:r>
        <w:t xml:space="preserve"> </w:t>
      </w:r>
      <m:oMath>
        <m:sSub>
          <m:e>
            <m:r>
              <m:t>c</m:t>
            </m:r>
          </m:e>
          <m:sub>
            <m:r>
              <m:t>H</m:t>
            </m:r>
          </m:sub>
        </m:sSub>
      </m:oMath>
      <w:r>
        <w:t xml:space="preserve">, while</w:t>
      </w:r>
      <w:r>
        <w:t xml:space="preserve"> </w:t>
      </w:r>
      <m:oMath>
        <m:r>
          <m:t>C</m:t>
        </m:r>
      </m:oMath>
      <w:r>
        <w:t xml:space="preserve"> </w:t>
      </w:r>
      <w:r>
        <w:t xml:space="preserve">is not incentive-compatible for</w:t>
      </w:r>
      <w:r>
        <w:t xml:space="preserve"> </w:t>
      </w:r>
      <m:oMath>
        <m:r>
          <m:t>L</m:t>
        </m:r>
      </m:oMath>
      <w:r>
        <w:t xml:space="preserve"> </w:t>
      </w:r>
      <w:r>
        <w:t xml:space="preserve">because its incremental benefit does not cover</w:t>
      </w:r>
      <w:r>
        <w:t xml:space="preserve"> </w:t>
      </w:r>
      <m:oMath>
        <m:sSub>
          <m:e>
            <m:r>
              <m:t>c</m:t>
            </m:r>
          </m:e>
          <m:sub>
            <m:r>
              <m:t>L</m:t>
            </m:r>
          </m:sub>
        </m:sSub>
      </m:oMath>
      <w:r>
        <w:t xml:space="preserve">. Bayes’ rule then assigns</w:t>
      </w:r>
      <w:r>
        <w:t xml:space="preserve"> </w:t>
      </w:r>
      <m:oMath>
        <m:r>
          <m:t>μ</m:t>
        </m:r>
        <m:r>
          <m:rPr>
            <m:sty m:val="p"/>
          </m:rPr>
          <m:t>(</m:t>
        </m:r>
        <m:r>
          <m:t>H</m:t>
        </m:r>
        <m:r>
          <m:rPr>
            <m:sty m:val="p"/>
          </m:rPr>
          <m:t>∣</m:t>
        </m:r>
        <m:r>
          <m:t>C</m:t>
        </m:r>
        <m:r>
          <m:rPr>
            <m:sty m:val="p"/>
          </m:rPr>
          <m:t>)</m:t>
        </m:r>
        <m:r>
          <m:rPr>
            <m:sty m:val="p"/>
          </m:rPr>
          <m:t>=</m:t>
        </m:r>
        <m:r>
          <m:t>1</m:t>
        </m:r>
      </m:oMath>
      <w:r>
        <w:t xml:space="preserve"> </w:t>
      </w:r>
      <w:r>
        <w:t xml:space="preserve">and</w:t>
      </w:r>
      <w:r>
        <w:t xml:space="preserve"> </w:t>
      </w:r>
      <m:oMath>
        <m:r>
          <m:t>μ</m:t>
        </m:r>
        <m:r>
          <m:rPr>
            <m:sty m:val="p"/>
          </m:rPr>
          <m:t>(</m:t>
        </m:r>
        <m:r>
          <m:t>H</m:t>
        </m:r>
        <m:r>
          <m:rPr>
            <m:sty m:val="p"/>
          </m:rPr>
          <m:t>∣</m:t>
        </m:r>
        <m:r>
          <m:t>N</m:t>
        </m:r>
        <m:r>
          <m:rPr>
            <m:sty m:val="p"/>
          </m:rPr>
          <m:t>)</m:t>
        </m:r>
        <m:r>
          <m:rPr>
            <m:sty m:val="p"/>
          </m:rPr>
          <m:t>=</m:t>
        </m:r>
        <m:r>
          <m:t>0</m:t>
        </m:r>
      </m:oMath>
      <w:r>
        <w:t xml:space="preserve"> </w:t>
      </w:r>
      <w:r>
        <w:t xml:space="preserve">on the equilibrium path. The voter’s response sustains the benefit differential assumed in the incentive constraints.</w:t>
      </w:r>
      <w:r>
        <w:t xml:space="preserve"> </w:t>
      </w:r>
      <w:r>
        <w:t xml:space="preserve">5A1</w:t>
      </w:r>
    </w:p>
    <w:p>
      <w:pPr>
        <w:pStyle w:val="BodyText"/>
      </w:pPr>
      <w:r>
        <w:t xml:space="preserve">In practice, opportunistic types can imitate controls, so the equilibrium may be pooling. Yet even a pooling action can reinforce an established reputation. Let</w:t>
      </w:r>
      <w:r>
        <w:t xml:space="preserve"> </w:t>
      </w:r>
      <m:oMath>
        <m:sSub>
          <m:e>
            <m:r>
              <m:t>r</m:t>
            </m:r>
          </m:e>
          <m:sub>
            <m:r>
              <m:t>t</m:t>
            </m:r>
          </m:sub>
        </m:sSub>
      </m:oMath>
      <w:r>
        <w:t xml:space="preserve"> </w:t>
      </w:r>
      <w:r>
        <w:t xml:space="preserve">be the perceived stock of toughness and let it evolve as:</w:t>
      </w:r>
    </w:p>
    <w:p>
      <w:pPr>
        <w:pStyle w:val="BodyText"/>
      </w:pPr>
      <m:oMathPara>
        <m:oMathParaPr>
          <m:jc m:val="center"/>
        </m:oMathParaPr>
        <m:oMath>
          <m:sSub>
            <m:e>
              <m:r>
                <m:t>r</m:t>
              </m:r>
            </m:e>
            <m:sub>
              <m:r>
                <m:t>t</m:t>
              </m:r>
              <m:r>
                <m:rPr>
                  <m:sty m:val="p"/>
                </m:rPr>
                <m:t>+</m:t>
              </m:r>
              <m:r>
                <m:t>1</m:t>
              </m:r>
            </m:sub>
          </m:sSub>
          <m:r>
            <m:rPr>
              <m:sty m:val="p"/>
            </m:rPr>
            <m:t>=</m:t>
          </m:r>
          <m:r>
            <m:t>δ</m:t>
          </m:r>
          <m:sSub>
            <m:e>
              <m:r>
                <m:t>r</m:t>
              </m:r>
            </m:e>
            <m:sub>
              <m:r>
                <m:t>t</m:t>
              </m:r>
            </m:sub>
          </m:sSub>
          <m:r>
            <m:rPr>
              <m:sty m:val="p"/>
            </m:rPr>
            <m:t>+</m:t>
          </m:r>
          <m:r>
            <m:t>ξ</m:t>
          </m:r>
          <m:sSub>
            <m:e>
              <m:r>
                <m:t>C</m:t>
              </m:r>
            </m:e>
            <m:sub>
              <m:r>
                <m:t>t</m:t>
              </m:r>
            </m:sub>
          </m:sSub>
          <m:r>
            <m:rPr>
              <m:sty m:val="p"/>
            </m:rPr>
            <m:t>,</m:t>
          </m:r>
          <m:r>
            <m:t> </m:t>
          </m:r>
          <m:r>
            <m:t>0</m:t>
          </m:r>
          <m:r>
            <m:rPr>
              <m:sty m:val="p"/>
            </m:rPr>
            <m:t>&lt;</m:t>
          </m:r>
          <m:r>
            <m:t>δ</m:t>
          </m:r>
          <m:r>
            <m:rPr>
              <m:sty m:val="p"/>
            </m:rPr>
            <m:t>&lt;</m:t>
          </m:r>
          <m:r>
            <m:t>1</m:t>
          </m:r>
          <m:r>
            <m:rPr>
              <m:sty m:val="p"/>
            </m:rPr>
            <m:t>,</m:t>
          </m:r>
          <m:r>
            <m:t> </m:t>
          </m:r>
          <m:r>
            <m:t>ξ</m:t>
          </m:r>
          <m:r>
            <m:rPr>
              <m:sty m:val="p"/>
            </m:rPr>
            <m:t>&gt;</m:t>
          </m:r>
          <m:r>
            <m:t>0</m:t>
          </m:r>
          <m:r>
            <m:rPr>
              <m:sty m:val="p"/>
            </m:rPr>
            <m:t>.</m:t>
          </m:r>
          <m:r>
            <m:t> </m:t>
          </m:r>
          <m:r>
            <m:rPr>
              <m:sty m:val="p"/>
            </m:rPr>
            <m:t>(</m:t>
          </m:r>
          <m:r>
            <m:t>20</m:t>
          </m:r>
          <m:r>
            <m:rPr>
              <m:sty m:val="p"/>
            </m:rPr>
            <m:t>)</m:t>
          </m:r>
        </m:oMath>
      </m:oMathPara>
    </w:p>
    <w:p>
      <w:pPr>
        <w:pStyle w:val="FirstParagraph"/>
      </w:pPr>
      <w:r>
        <w:t xml:space="preserve">The present action creates a discounted stream of reputational returns. Its value therefore cannot be evaluated solely by its immediate operational effect.</w:t>
      </w:r>
    </w:p>
    <w:bookmarkEnd w:id="25"/>
    <w:bookmarkStart w:id="26" w:name="X6165d7081f185ee106345c553e916aafc5c8d91"/>
    <w:p>
      <w:pPr>
        <w:pStyle w:val="Heading3"/>
      </w:pPr>
      <w:r>
        <w:t xml:space="preserve">8.2. Why correct data can function as cheap talk</w:t>
      </w:r>
    </w:p>
    <w:p>
      <w:pPr>
        <w:pStyle w:val="FirstParagraph"/>
      </w:pPr>
      <w:r>
        <w:t xml:space="preserve">S</w:t>
      </w:r>
      <w:r>
        <w:t xml:space="preserve">0E1nchez’s message can be true and nevertheless weakly informative in equilibrium. If voters believe that a Spanish prime minister would defend Spain under both</w:t>
      </w:r>
      <w:r>
        <w:t xml:space="preserve"> </w:t>
      </w:r>
      <m:oMath>
        <m:r>
          <m:t>θ</m:t>
        </m:r>
        <m:r>
          <m:rPr>
            <m:sty m:val="p"/>
          </m:rPr>
          <m:t>=</m:t>
        </m:r>
        <m:r>
          <m:t>0</m:t>
        </m:r>
      </m:oMath>
      <w:r>
        <w:t xml:space="preserve"> </w:t>
      </w:r>
      <w:r>
        <w:t xml:space="preserve">and</w:t>
      </w:r>
      <w:r>
        <w:t xml:space="preserve"> </w:t>
      </w:r>
      <m:oMath>
        <m:r>
          <m:t>θ</m:t>
        </m:r>
        <m:r>
          <m:rPr>
            <m:sty m:val="p"/>
          </m:rPr>
          <m:t>=</m:t>
        </m:r>
        <m:r>
          <m:t>1</m:t>
        </m:r>
      </m:oMath>
      <w:r>
        <w:t xml:space="preserve">, then the message strategy pools across states:</w:t>
      </w:r>
    </w:p>
    <w:p>
      <w:pPr>
        <w:pStyle w:val="BodyText"/>
      </w:pPr>
      <m:oMathPara>
        <m:oMathParaPr>
          <m:jc m:val="center"/>
        </m:oMathParaPr>
        <m:oMath>
          <m:sSub>
            <m:e>
              <m:r>
                <m:t>m</m:t>
              </m:r>
            </m:e>
            <m:sub>
              <m:r>
                <m:t>S</m:t>
              </m:r>
            </m:sub>
          </m:sSub>
          <m:r>
            <m:rPr>
              <m:sty m:val="p"/>
            </m:rPr>
            <m:t>(</m:t>
          </m:r>
          <m:r>
            <m:t>0</m:t>
          </m:r>
          <m:r>
            <m:rPr>
              <m:sty m:val="p"/>
            </m:rPr>
            <m:t>)</m:t>
          </m:r>
          <m:r>
            <m:rPr>
              <m:sty m:val="p"/>
            </m:rPr>
            <m:t>=</m:t>
          </m:r>
          <m:sSub>
            <m:e>
              <m:r>
                <m:t>m</m:t>
              </m:r>
            </m:e>
            <m:sub>
              <m:r>
                <m:t>S</m:t>
              </m:r>
            </m:sub>
          </m:sSub>
          <m:r>
            <m:rPr>
              <m:sty m:val="p"/>
            </m:rPr>
            <m:t>(</m:t>
          </m:r>
          <m:r>
            <m:t>1</m:t>
          </m:r>
          <m:r>
            <m:rPr>
              <m:sty m:val="p"/>
            </m:rPr>
            <m:t>)</m:t>
          </m:r>
          <m:r>
            <m:rPr>
              <m:sty m:val="p"/>
            </m:rPr>
            <m:t>=</m:t>
          </m:r>
          <m:r>
            <m:t>D</m:t>
          </m:r>
          <m:r>
            <m:rPr>
              <m:sty m:val="p"/>
            </m:rPr>
            <m:t>.</m:t>
          </m:r>
          <m:r>
            <m:t> </m:t>
          </m:r>
          <m:r>
            <m:rPr>
              <m:sty m:val="p"/>
            </m:rPr>
            <m:t>(</m:t>
          </m:r>
          <m:r>
            <m:t>21</m:t>
          </m:r>
          <m:r>
            <m:rPr>
              <m:sty m:val="p"/>
            </m:rPr>
            <m:t>)</m:t>
          </m:r>
        </m:oMath>
      </m:oMathPara>
    </w:p>
    <w:p>
      <w:pPr>
        <w:pStyle w:val="FirstParagraph"/>
      </w:pPr>
      <w:r>
        <w:t xml:space="preserve">Consequently, the message does not separate states and may leave posterior beliefs largely unchanged. This is a credibility problem, not a factual refutation. The sender’s predictable strategic interest reduces the marginal information conveyed by a truthful statement.</w:t>
      </w:r>
    </w:p>
    <w:p>
      <w:pPr>
        <w:pStyle w:val="BodyText"/>
      </w:pPr>
      <w:r>
        <w:t xml:space="preserve">Meloni’s action, by contrast, changes administrative procedures and generates political or diplomatic costs. It therefore has a commitment component. The voter compares not merely proposition against proposition but costless speech against an observable change in behaviour.</w:t>
      </w:r>
    </w:p>
    <w:p>
      <w:pPr>
        <w:pStyle w:val="BodyText"/>
      </w:pPr>
      <w:r>
        <w:t xml:space="preserve">Total value of</w:t>
      </w:r>
      <w:r>
        <w:t xml:space="preserve"> </w:t>
      </w:r>
      <m:oMath>
        <m:r>
          <m:t>C</m:t>
        </m:r>
      </m:oMath>
      <w:r>
        <w:t xml:space="preserve"> </w:t>
      </w:r>
      <w:r>
        <w:t xml:space="preserve">= operational effect + signalling effect + reputational effect. (22)</w:t>
      </w:r>
    </w:p>
    <w:bookmarkEnd w:id="26"/>
    <w:bookmarkEnd w:id="27"/>
    <w:bookmarkStart w:id="29" w:name="X33e06d7a30a397c4e522779b274d720ef518e93"/>
    <w:p>
      <w:pPr>
        <w:pStyle w:val="Heading2"/>
      </w:pPr>
      <w:r>
        <w:t xml:space="preserve">9. Endogenous issue salience and electoral competition</w:t>
      </w:r>
    </w:p>
    <w:p>
      <w:pPr>
        <w:pStyle w:val="FirstParagraph"/>
      </w:pPr>
      <w:r>
        <w:t xml:space="preserve">The most important strategic effect may be the endogenous selection of the issue dimension. Let voter</w:t>
      </w:r>
      <w:r>
        <w:t xml:space="preserve"> </w:t>
      </w:r>
      <m:oMath>
        <m:r>
          <m:t>i</m:t>
        </m:r>
      </m:oMath>
      <w:r>
        <w:t xml:space="preserve">’s utility difference between Meloni and the opposition be:</w:t>
      </w:r>
    </w:p>
    <w:p>
      <w:pPr>
        <w:pStyle w:val="BodyText"/>
      </w:pPr>
      <m:oMathPara>
        <m:oMathParaPr>
          <m:jc m:val="center"/>
        </m:oMathParaPr>
        <m:oMath>
          <m:r>
            <m:rPr>
              <m:sty m:val="p"/>
            </m:rPr>
            <m:t>Δ</m:t>
          </m:r>
          <m:sSub>
            <m:e>
              <m:r>
                <m:t>U</m:t>
              </m:r>
            </m:e>
            <m:sub>
              <m:r>
                <m:t>i</m:t>
              </m:r>
            </m:sub>
          </m:sSub>
          <m:r>
            <m:rPr>
              <m:sty m:val="p"/>
            </m:rPr>
            <m:t>=</m:t>
          </m:r>
          <m:sSub>
            <m:e>
              <m:r>
                <m:t>b</m:t>
              </m:r>
            </m:e>
            <m:sub>
              <m:r>
                <m:t>i</m:t>
              </m:r>
            </m:sub>
          </m:sSub>
          <m:r>
            <m:rPr>
              <m:sty m:val="p"/>
            </m:rPr>
            <m:t>+</m:t>
          </m:r>
          <m:sSub>
            <m:e>
              <m:r>
                <m:t>λ</m:t>
              </m:r>
            </m:e>
            <m:sub>
              <m:r>
                <m:t>m</m:t>
              </m:r>
            </m:sub>
          </m:sSub>
          <m:r>
            <m:rPr>
              <m:sty m:val="p"/>
            </m:rPr>
            <m:t>Δ</m:t>
          </m:r>
          <m:sSub>
            <m:e>
              <m:r>
                <m:t>u</m:t>
              </m:r>
            </m:e>
            <m:sub>
              <m:r>
                <m:t>m</m:t>
              </m:r>
            </m:sub>
          </m:sSub>
          <m:r>
            <m:rPr>
              <m:sty m:val="p"/>
            </m:rPr>
            <m:t>(</m:t>
          </m:r>
          <m:sSub>
            <m:e>
              <m:acc>
                <m:accPr>
                  <m:chr m:val="̃"/>
                </m:accPr>
                <m:e>
                  <m:r>
                    <m:t>π</m:t>
                  </m:r>
                </m:e>
              </m:acc>
            </m:e>
            <m:sub>
              <m:r>
                <m:t>1</m:t>
              </m:r>
            </m:sub>
          </m:sSub>
          <m:r>
            <m:rPr>
              <m:sty m:val="p"/>
            </m:rPr>
            <m:t>)</m:t>
          </m:r>
          <m:r>
            <m:rPr>
              <m:sty m:val="p"/>
            </m:rPr>
            <m:t>+</m:t>
          </m:r>
          <m:nary>
            <m:naryPr>
              <m:chr m:val="∑"/>
              <m:limLoc m:val="undOvr"/>
              <m:subHide m:val="off"/>
              <m:supHide m:val="on"/>
            </m:naryPr>
            <m:sub>
              <m:r>
                <m:t>k</m:t>
              </m:r>
              <m:r>
                <m:rPr>
                  <m:sty m:val="p"/>
                </m:rPr>
                <m:t>≠</m:t>
              </m:r>
              <m:r>
                <m:t>m</m:t>
              </m:r>
            </m:sub>
            <m:sup>
              <m:r>
                <m:t>​</m:t>
              </m:r>
            </m:sup>
            <m:e>
              <m:sSub>
                <m:e>
                  <m:r>
                    <m:t>λ</m:t>
                  </m:r>
                </m:e>
                <m:sub>
                  <m:r>
                    <m:t>k</m:t>
                  </m:r>
                </m:sub>
              </m:sSub>
            </m:e>
          </m:nary>
          <m:r>
            <m:rPr>
              <m:sty m:val="p"/>
            </m:rPr>
            <m:t>Δ</m:t>
          </m:r>
          <m:sSub>
            <m:e>
              <m:r>
                <m:t>u</m:t>
              </m:r>
            </m:e>
            <m:sub>
              <m:r>
                <m:t>i</m:t>
              </m:r>
              <m:r>
                <m:t>k</m:t>
              </m:r>
            </m:sub>
          </m:sSub>
          <m:r>
            <m:rPr>
              <m:sty m:val="p"/>
            </m:rPr>
            <m:t>+</m:t>
          </m:r>
          <m:r>
            <m:t>r</m:t>
          </m:r>
          <m:r>
            <m:rPr>
              <m:sty m:val="p"/>
            </m:rPr>
            <m:t>(</m:t>
          </m:r>
          <m:r>
            <m:t>C</m:t>
          </m:r>
          <m:r>
            <m:rPr>
              <m:sty m:val="p"/>
            </m:rPr>
            <m:t>)</m:t>
          </m:r>
          <m:r>
            <m:rPr>
              <m:sty m:val="p"/>
            </m:rPr>
            <m:t>,</m:t>
          </m:r>
          <m:r>
            <m:t> </m:t>
          </m:r>
          <m:r>
            <m:rPr>
              <m:sty m:val="p"/>
            </m:rPr>
            <m:t>(</m:t>
          </m:r>
          <m:r>
            <m:t>23</m:t>
          </m:r>
          <m:r>
            <m:rPr>
              <m:sty m:val="p"/>
            </m:rPr>
            <m:t>)</m:t>
          </m:r>
        </m:oMath>
      </m:oMathPara>
    </w:p>
    <w:p>
      <w:pPr>
        <w:pStyle w:val="FirstParagraph"/>
      </w:pPr>
      <w:r>
        <w:t xml:space="preserve">where</w:t>
      </w:r>
      <w:r>
        <w:t xml:space="preserve"> </w:t>
      </w:r>
      <m:oMath>
        <m:sSub>
          <m:e>
            <m:r>
              <m:t>b</m:t>
            </m:r>
          </m:e>
          <m:sub>
            <m:r>
              <m:t>i</m:t>
            </m:r>
          </m:sub>
        </m:sSub>
      </m:oMath>
      <w:r>
        <w:t xml:space="preserve"> </w:t>
      </w:r>
      <w:r>
        <w:t xml:space="preserve">is an ideological predisposition,</w:t>
      </w:r>
      <w:r>
        <w:t xml:space="preserve"> </w:t>
      </w:r>
      <m:oMath>
        <m:sSub>
          <m:e>
            <m:r>
              <m:t>λ</m:t>
            </m:r>
          </m:e>
          <m:sub>
            <m:r>
              <m:t>m</m:t>
            </m:r>
          </m:sub>
        </m:sSub>
      </m:oMath>
      <w:r>
        <w:t xml:space="preserve"> </w:t>
      </w:r>
      <w:r>
        <w:t xml:space="preserve">is the salience weight on migration,</w:t>
      </w:r>
      <w:r>
        <w:t xml:space="preserve"> </w:t>
      </w:r>
      <m:oMath>
        <m:r>
          <m:rPr>
            <m:sty m:val="p"/>
          </m:rPr>
          <m:t>Δ</m:t>
        </m:r>
        <m:sSub>
          <m:e>
            <m:r>
              <m:t>u</m:t>
            </m:r>
          </m:e>
          <m:sub>
            <m:r>
              <m:t>m</m:t>
            </m:r>
          </m:sub>
        </m:sSub>
      </m:oMath>
      <w:r>
        <w:t xml:space="preserve"> </w:t>
      </w:r>
      <w:r>
        <w:t xml:space="preserve">is Meloni’s comparative utility advantage on migration and</w:t>
      </w:r>
      <w:r>
        <w:t xml:space="preserve"> </w:t>
      </w:r>
      <m:oMath>
        <m:r>
          <m:t>r</m:t>
        </m:r>
        <m:r>
          <m:rPr>
            <m:sty m:val="p"/>
          </m:rPr>
          <m:t>(</m:t>
        </m:r>
        <m:r>
          <m:t>C</m:t>
        </m:r>
        <m:r>
          <m:rPr>
            <m:sty m:val="p"/>
          </m:rPr>
          <m:t>)</m:t>
        </m:r>
      </m:oMath>
      <w:r>
        <w:t xml:space="preserve"> </w:t>
      </w:r>
      <w:r>
        <w:t xml:space="preserve">is the reputational return from decisive action. The voter supports Meloni when</w:t>
      </w:r>
      <w:r>
        <w:t xml:space="preserve"> </w:t>
      </w:r>
      <m:oMath>
        <m:r>
          <m:rPr>
            <m:sty m:val="p"/>
          </m:rPr>
          <m:t>Δ</m:t>
        </m:r>
        <m:sSub>
          <m:e>
            <m:r>
              <m:t>U</m:t>
            </m:r>
          </m:e>
          <m:sub>
            <m:r>
              <m:t>i</m:t>
            </m:r>
          </m:sub>
        </m:sSub>
        <m:r>
          <m:rPr>
            <m:sty m:val="p"/>
          </m:rPr>
          <m:t>&gt;</m:t>
        </m:r>
        <m:r>
          <m:t>0</m:t>
        </m:r>
      </m:oMath>
      <w:r>
        <w:t xml:space="preserve">. Meloni’s communication affects both</w:t>
      </w:r>
      <w:r>
        <w:t xml:space="preserve"> </w:t>
      </w:r>
      <m:oMath>
        <m:sSub>
          <m:e>
            <m:acc>
              <m:accPr>
                <m:chr m:val="̃"/>
              </m:accPr>
              <m:e>
                <m:r>
                  <m:t>π</m:t>
                </m:r>
              </m:e>
            </m:acc>
          </m:e>
          <m:sub>
            <m:r>
              <m:t>1</m:t>
            </m:r>
          </m:sub>
        </m:sSub>
      </m:oMath>
      <w:r>
        <w:t xml:space="preserve"> </w:t>
      </w:r>
      <w:r>
        <w:t xml:space="preserve">and</w:t>
      </w:r>
      <w:r>
        <w:t xml:space="preserve"> </w:t>
      </w:r>
      <m:oMath>
        <m:sSub>
          <m:e>
            <m:r>
              <m:t>λ</m:t>
            </m:r>
          </m:e>
          <m:sub>
            <m:r>
              <m:t>m</m:t>
            </m:r>
          </m:sub>
        </m:sSub>
      </m:oMath>
      <w:r>
        <w:t xml:space="preserve">. This is a heresthetic move: it changes not only the perceived value within a dimension but the weight of the dimension itself. S</w:t>
      </w:r>
      <w:r>
        <w:t xml:space="preserve">0E1nchez’s response contests the first element while accepting the second. He argues about the size of the migration risk inside a game whose dominant issue has already been selected by his opponent.</w:t>
      </w:r>
    </w:p>
    <w:p>
      <w:pPr>
        <w:pStyle w:val="BodyText"/>
      </w:pPr>
      <m:oMathPara>
        <m:oMathParaPr>
          <m:jc m:val="center"/>
        </m:oMathParaPr>
        <m:oMath>
          <m:f>
            <m:fPr>
              <m:type m:val="bar"/>
            </m:fPr>
            <m:num>
              <m:r>
                <m:rPr>
                  <m:sty m:val="p"/>
                </m:rPr>
                <m:t>∂</m:t>
              </m:r>
              <m:r>
                <m:rPr>
                  <m:sty m:val="p"/>
                </m:rPr>
                <m:t>Δ</m:t>
              </m:r>
              <m:sSub>
                <m:e>
                  <m:r>
                    <m:t>U</m:t>
                  </m:r>
                </m:e>
                <m:sub>
                  <m:r>
                    <m:t>i</m:t>
                  </m:r>
                </m:sub>
              </m:sSub>
            </m:num>
            <m:den>
              <m:r>
                <m:rPr>
                  <m:sty m:val="p"/>
                </m:rPr>
                <m:t>∂</m:t>
              </m:r>
              <m:sSub>
                <m:e>
                  <m:r>
                    <m:t>λ</m:t>
                  </m:r>
                </m:e>
                <m:sub>
                  <m:r>
                    <m:t>m</m:t>
                  </m:r>
                </m:sub>
              </m:sSub>
            </m:den>
          </m:f>
          <m:r>
            <m:rPr>
              <m:sty m:val="p"/>
            </m:rPr>
            <m:t>=</m:t>
          </m:r>
          <m:r>
            <m:rPr>
              <m:sty m:val="p"/>
            </m:rPr>
            <m:t>Δ</m:t>
          </m:r>
          <m:sSub>
            <m:e>
              <m:r>
                <m:t>u</m:t>
              </m:r>
            </m:e>
            <m:sub>
              <m:r>
                <m:t>m</m:t>
              </m:r>
            </m:sub>
          </m:sSub>
          <m:r>
            <m:rPr>
              <m:sty m:val="p"/>
            </m:rPr>
            <m:t>(</m:t>
          </m:r>
          <m:sSub>
            <m:e>
              <m:acc>
                <m:accPr>
                  <m:chr m:val="̃"/>
                </m:accPr>
                <m:e>
                  <m:r>
                    <m:t>π</m:t>
                  </m:r>
                </m:e>
              </m:acc>
            </m:e>
            <m:sub>
              <m:r>
                <m:t>1</m:t>
              </m:r>
            </m:sub>
          </m:sSub>
          <m:r>
            <m:rPr>
              <m:sty m:val="p"/>
            </m:rPr>
            <m:t>)</m:t>
          </m:r>
          <m:r>
            <m:rPr>
              <m:sty m:val="p"/>
            </m:rPr>
            <m:t>.</m:t>
          </m:r>
          <m:r>
            <m:t> </m:t>
          </m:r>
          <m:r>
            <m:rPr>
              <m:sty m:val="p"/>
            </m:rPr>
            <m:t>(</m:t>
          </m:r>
          <m:r>
            <m:t>24</m:t>
          </m:r>
          <m:r>
            <m:rPr>
              <m:sty m:val="p"/>
            </m:rPr>
            <m:t>)</m:t>
          </m:r>
        </m:oMath>
      </m:oMathPara>
    </w:p>
    <w:p>
      <w:pPr>
        <w:pStyle w:val="FirstParagraph"/>
      </w:pPr>
      <w:r>
        <w:t xml:space="preserve">If</w:t>
      </w:r>
      <w:r>
        <w:t xml:space="preserve"> </w:t>
      </w:r>
      <m:oMath>
        <m:r>
          <m:rPr>
            <m:sty m:val="p"/>
          </m:rPr>
          <m:t>Δ</m:t>
        </m:r>
        <m:sSub>
          <m:e>
            <m:r>
              <m:t>u</m:t>
            </m:r>
          </m:e>
          <m:sub>
            <m:r>
              <m:t>m</m:t>
            </m:r>
          </m:sub>
        </m:sSub>
        <m:r>
          <m:rPr>
            <m:sty m:val="p"/>
          </m:rPr>
          <m:t>(</m:t>
        </m:r>
        <m:sSub>
          <m:e>
            <m:acc>
              <m:accPr>
                <m:chr m:val="̃"/>
              </m:accPr>
              <m:e>
                <m:r>
                  <m:t>π</m:t>
                </m:r>
              </m:e>
            </m:acc>
          </m:e>
          <m:sub>
            <m:r>
              <m:t>1</m:t>
            </m:r>
          </m:sub>
        </m:sSub>
        <m:r>
          <m:rPr>
            <m:sty m:val="p"/>
          </m:rPr>
          <m:t>)</m:t>
        </m:r>
        <m:r>
          <m:rPr>
            <m:sty m:val="p"/>
          </m:rPr>
          <m:t>&gt;</m:t>
        </m:r>
        <m:r>
          <m:t>0</m:t>
        </m:r>
      </m:oMath>
      <w:r>
        <w:t xml:space="preserve">, any increase in migration salience benefits Meloni even when the underlying factual dispute remains unresolved.</w:t>
      </w:r>
    </w:p>
    <w:bookmarkStart w:id="28" w:name="the-pivotal-voter-formulation"/>
    <w:p>
      <w:pPr>
        <w:pStyle w:val="Heading3"/>
      </w:pPr>
      <w:r>
        <w:t xml:space="preserve">9.1. The pivotal-voter formulation</w:t>
      </w:r>
    </w:p>
    <w:p>
      <w:pPr>
        <w:pStyle w:val="FirstParagraph"/>
      </w:pPr>
      <w:r>
        <w:t xml:space="preserve">Let ideological predisposition</w:t>
      </w:r>
      <w:r>
        <w:t xml:space="preserve"> </w:t>
      </w:r>
      <m:oMath>
        <m:r>
          <m:t>b</m:t>
        </m:r>
      </m:oMath>
      <w:r>
        <w:t xml:space="preserve"> </w:t>
      </w:r>
      <w:r>
        <w:t xml:space="preserve">be distributed with cumulative distribution</w:t>
      </w:r>
      <w:r>
        <w:t xml:space="preserve"> </w:t>
      </w:r>
      <m:oMath>
        <m:r>
          <m:t>F</m:t>
        </m:r>
      </m:oMath>
      <w:r>
        <w:t xml:space="preserve"> </w:t>
      </w:r>
      <w:r>
        <w:t xml:space="preserve">and density</w:t>
      </w:r>
      <w:r>
        <w:t xml:space="preserve"> </w:t>
      </w:r>
      <m:oMath>
        <m:r>
          <m:t>f</m:t>
        </m:r>
      </m:oMath>
      <w:r>
        <w:t xml:space="preserve">. The threshold voter</w:t>
      </w:r>
      <w:r>
        <w:t xml:space="preserve"> </w:t>
      </w:r>
      <m:oMath>
        <m:sSup>
          <m:e>
            <m:r>
              <m:t>b</m:t>
            </m:r>
          </m:e>
          <m:sup>
            <m:r>
              <m:rPr>
                <m:sty m:val="p"/>
              </m:rPr>
              <m:t>*</m:t>
            </m:r>
          </m:sup>
        </m:sSup>
      </m:oMath>
      <w:r>
        <w:t xml:space="preserve"> </w:t>
      </w:r>
      <w:r>
        <w:t xml:space="preserve">satisfies:</w:t>
      </w:r>
    </w:p>
    <w:p>
      <w:pPr>
        <w:pStyle w:val="BodyText"/>
      </w:pPr>
      <m:oMathPara>
        <m:oMathParaPr>
          <m:jc m:val="center"/>
        </m:oMathParaPr>
        <m:oMath>
          <m:sSup>
            <m:e>
              <m:r>
                <m:t>b</m:t>
              </m:r>
            </m:e>
            <m:sup>
              <m:r>
                <m:rPr>
                  <m:sty m:val="p"/>
                </m:rPr>
                <m:t>*</m:t>
              </m:r>
            </m:sup>
          </m:sSup>
          <m:r>
            <m:rPr>
              <m:sty m:val="p"/>
            </m:rPr>
            <m:t>=</m:t>
          </m:r>
          <m:r>
            <m:rPr>
              <m:sty m:val="p"/>
            </m:rPr>
            <m:t>−</m:t>
          </m:r>
          <m:sSub>
            <m:e>
              <m:r>
                <m:t>λ</m:t>
              </m:r>
            </m:e>
            <m:sub>
              <m:r>
                <m:t>m</m:t>
              </m:r>
            </m:sub>
          </m:sSub>
          <m:r>
            <m:rPr>
              <m:sty m:val="p"/>
            </m:rPr>
            <m:t>Δ</m:t>
          </m:r>
          <m:sSub>
            <m:e>
              <m:r>
                <m:t>u</m:t>
              </m:r>
            </m:e>
            <m:sub>
              <m:r>
                <m:t>m</m:t>
              </m:r>
            </m:sub>
          </m:sSub>
          <m:r>
            <m:rPr>
              <m:sty m:val="p"/>
            </m:rPr>
            <m:t>(</m:t>
          </m:r>
          <m:sSub>
            <m:e>
              <m:acc>
                <m:accPr>
                  <m:chr m:val="̃"/>
                </m:accPr>
                <m:e>
                  <m:r>
                    <m:t>π</m:t>
                  </m:r>
                </m:e>
              </m:acc>
            </m:e>
            <m:sub>
              <m:r>
                <m:t>1</m:t>
              </m:r>
            </m:sub>
          </m:sSub>
          <m:r>
            <m:rPr>
              <m:sty m:val="p"/>
            </m:rPr>
            <m:t>)</m:t>
          </m:r>
          <m:r>
            <m:rPr>
              <m:sty m:val="p"/>
            </m:rPr>
            <m:t>−</m:t>
          </m:r>
          <m:r>
            <m:t>r</m:t>
          </m:r>
          <m:r>
            <m:rPr>
              <m:sty m:val="p"/>
            </m:rPr>
            <m:t>(</m:t>
          </m:r>
          <m:r>
            <m:t>C</m:t>
          </m:r>
          <m:r>
            <m:rPr>
              <m:sty m:val="p"/>
            </m:rPr>
            <m:t>)</m:t>
          </m:r>
          <m:r>
            <m:rPr>
              <m:sty m:val="p"/>
            </m:rPr>
            <m:t>−</m:t>
          </m:r>
          <m:nary>
            <m:naryPr>
              <m:chr m:val="∑"/>
              <m:limLoc m:val="undOvr"/>
              <m:subHide m:val="off"/>
              <m:supHide m:val="on"/>
            </m:naryPr>
            <m:sub>
              <m:r>
                <m:t>k</m:t>
              </m:r>
              <m:r>
                <m:rPr>
                  <m:sty m:val="p"/>
                </m:rPr>
                <m:t>≠</m:t>
              </m:r>
              <m:r>
                <m:t>m</m:t>
              </m:r>
            </m:sub>
            <m:sup>
              <m:r>
                <m:t>​</m:t>
              </m:r>
            </m:sup>
            <m:e>
              <m:sSub>
                <m:e>
                  <m:r>
                    <m:t>λ</m:t>
                  </m:r>
                </m:e>
                <m:sub>
                  <m:r>
                    <m:t>k</m:t>
                  </m:r>
                </m:sub>
              </m:sSub>
            </m:e>
          </m:nary>
          <m:r>
            <m:rPr>
              <m:sty m:val="p"/>
            </m:rPr>
            <m:t>Δ</m:t>
          </m:r>
          <m:sSub>
            <m:e>
              <m:r>
                <m:t>u</m:t>
              </m:r>
            </m:e>
            <m:sub>
              <m:r>
                <m:t>k</m:t>
              </m:r>
            </m:sub>
          </m:sSub>
          <m:r>
            <m:rPr>
              <m:sty m:val="p"/>
            </m:rPr>
            <m:t>.</m:t>
          </m:r>
          <m:r>
            <m:t> </m:t>
          </m:r>
          <m:r>
            <m:rPr>
              <m:sty m:val="p"/>
            </m:rPr>
            <m:t>(</m:t>
          </m:r>
          <m:r>
            <m:t>25</m:t>
          </m:r>
          <m:r>
            <m:rPr>
              <m:sty m:val="p"/>
            </m:rPr>
            <m:t>)</m:t>
          </m:r>
        </m:oMath>
      </m:oMathPara>
    </w:p>
    <w:p>
      <w:pPr>
        <w:pStyle w:val="FirstParagraph"/>
      </w:pPr>
      <m:oMathPara>
        <m:oMathParaPr>
          <m:jc m:val="center"/>
        </m:oMathParaPr>
        <m:oMath>
          <m:sSub>
            <m:e>
              <m:r>
                <m:t>V</m:t>
              </m:r>
            </m:e>
            <m:sub>
              <m:r>
                <m:t>M</m:t>
              </m:r>
            </m:sub>
          </m:sSub>
          <m:r>
            <m:rPr>
              <m:sty m:val="p"/>
            </m:rPr>
            <m:t>=</m:t>
          </m:r>
          <m:r>
            <m:t>1</m:t>
          </m:r>
          <m:r>
            <m:rPr>
              <m:sty m:val="p"/>
            </m:rPr>
            <m:t>−</m:t>
          </m:r>
          <m:r>
            <m:t>F</m:t>
          </m:r>
          <m:r>
            <m:rPr>
              <m:sty m:val="p"/>
            </m:rPr>
            <m:t>(</m:t>
          </m:r>
          <m:sSup>
            <m:e>
              <m:r>
                <m:t>b</m:t>
              </m:r>
            </m:e>
            <m:sup>
              <m:r>
                <m:rPr>
                  <m:sty m:val="p"/>
                </m:rPr>
                <m:t>*</m:t>
              </m:r>
            </m:sup>
          </m:sSup>
          <m:r>
            <m:rPr>
              <m:sty m:val="p"/>
            </m:rPr>
            <m:t>)</m:t>
          </m:r>
          <m:r>
            <m:rPr>
              <m:sty m:val="p"/>
            </m:rPr>
            <m:t>.</m:t>
          </m:r>
          <m:r>
            <m:t> </m:t>
          </m:r>
          <m:r>
            <m:rPr>
              <m:sty m:val="p"/>
            </m:rPr>
            <m:t>(</m:t>
          </m:r>
          <m:r>
            <m:t>26</m:t>
          </m:r>
          <m:r>
            <m:rPr>
              <m:sty m:val="p"/>
            </m:rPr>
            <m:t>)</m:t>
          </m:r>
        </m:oMath>
      </m:oMathPara>
    </w:p>
    <w:p>
      <w:pPr>
        <w:pStyle w:val="FirstParagraph"/>
      </w:pPr>
      <m:oMathPara>
        <m:oMathParaPr>
          <m:jc m:val="center"/>
        </m:oMathParaPr>
        <m:oMath>
          <m:f>
            <m:fPr>
              <m:type m:val="bar"/>
            </m:fPr>
            <m:num>
              <m:r>
                <m:rPr>
                  <m:sty m:val="p"/>
                </m:rPr>
                <m:t>∂</m:t>
              </m:r>
              <m:sSub>
                <m:e>
                  <m:r>
                    <m:t>V</m:t>
                  </m:r>
                </m:e>
                <m:sub>
                  <m:r>
                    <m:t>M</m:t>
                  </m:r>
                </m:sub>
              </m:sSub>
            </m:num>
            <m:den>
              <m:r>
                <m:rPr>
                  <m:sty m:val="p"/>
                </m:rPr>
                <m:t>∂</m:t>
              </m:r>
              <m:sSub>
                <m:e>
                  <m:acc>
                    <m:accPr>
                      <m:chr m:val="̃"/>
                    </m:accPr>
                    <m:e>
                      <m:r>
                        <m:t>π</m:t>
                      </m:r>
                    </m:e>
                  </m:acc>
                </m:e>
                <m:sub>
                  <m:r>
                    <m:t>1</m:t>
                  </m:r>
                </m:sub>
              </m:sSub>
            </m:den>
          </m:f>
          <m:r>
            <m:rPr>
              <m:sty m:val="p"/>
            </m:rPr>
            <m:t>=</m:t>
          </m:r>
          <m:r>
            <m:t>f</m:t>
          </m:r>
          <m:r>
            <m:rPr>
              <m:sty m:val="p"/>
            </m:rPr>
            <m:t>(</m:t>
          </m:r>
          <m:sSup>
            <m:e>
              <m:r>
                <m:t>b</m:t>
              </m:r>
            </m:e>
            <m:sup>
              <m:r>
                <m:rPr>
                  <m:sty m:val="p"/>
                </m:rPr>
                <m:t>*</m:t>
              </m:r>
            </m:sup>
          </m:sSup>
          <m:r>
            <m:rPr>
              <m:sty m:val="p"/>
            </m:rPr>
            <m:t>)</m:t>
          </m:r>
          <m:sSub>
            <m:e>
              <m:r>
                <m:t>λ</m:t>
              </m:r>
            </m:e>
            <m:sub>
              <m:r>
                <m:t>m</m:t>
              </m:r>
            </m:sub>
          </m:sSub>
          <m:f>
            <m:fPr>
              <m:type m:val="bar"/>
            </m:fPr>
            <m:num>
              <m:r>
                <m:rPr>
                  <m:sty m:val="p"/>
                </m:rPr>
                <m:t>∂</m:t>
              </m:r>
              <m:r>
                <m:rPr>
                  <m:sty m:val="p"/>
                </m:rPr>
                <m:t>Δ</m:t>
              </m:r>
              <m:sSub>
                <m:e>
                  <m:r>
                    <m:t>u</m:t>
                  </m:r>
                </m:e>
                <m:sub>
                  <m:r>
                    <m:t>m</m:t>
                  </m:r>
                </m:sub>
              </m:sSub>
              <m:r>
                <m:rPr>
                  <m:sty m:val="p"/>
                </m:rPr>
                <m:t>(</m:t>
              </m:r>
              <m:sSub>
                <m:e>
                  <m:acc>
                    <m:accPr>
                      <m:chr m:val="̃"/>
                    </m:accPr>
                    <m:e>
                      <m:r>
                        <m:t>π</m:t>
                      </m:r>
                    </m:e>
                  </m:acc>
                </m:e>
                <m:sub>
                  <m:r>
                    <m:t>1</m:t>
                  </m:r>
                </m:sub>
              </m:sSub>
              <m:r>
                <m:rPr>
                  <m:sty m:val="p"/>
                </m:rPr>
                <m:t>)</m:t>
              </m:r>
            </m:num>
            <m:den>
              <m:r>
                <m:rPr>
                  <m:sty m:val="p"/>
                </m:rPr>
                <m:t>∂</m:t>
              </m:r>
              <m:sSub>
                <m:e>
                  <m:acc>
                    <m:accPr>
                      <m:chr m:val="̃"/>
                    </m:accPr>
                    <m:e>
                      <m:r>
                        <m:t>π</m:t>
                      </m:r>
                    </m:e>
                  </m:acc>
                </m:e>
                <m:sub>
                  <m:r>
                    <m:t>1</m:t>
                  </m:r>
                </m:sub>
              </m:sSub>
            </m:den>
          </m:f>
          <m:r>
            <m:rPr>
              <m:sty m:val="p"/>
            </m:rPr>
            <m:t>.</m:t>
          </m:r>
          <m:r>
            <m:t> </m:t>
          </m:r>
          <m:r>
            <m:rPr>
              <m:sty m:val="p"/>
            </m:rPr>
            <m:t>(</m:t>
          </m:r>
          <m:r>
            <m:t>27</m:t>
          </m:r>
          <m:r>
            <m:rPr>
              <m:sty m:val="p"/>
            </m:rPr>
            <m:t>)</m:t>
          </m:r>
        </m:oMath>
      </m:oMathPara>
    </w:p>
    <w:p>
      <w:pPr>
        <w:pStyle w:val="FirstParagraph"/>
      </w:pPr>
      <w:r>
        <w:t xml:space="preserve">Under Assumption A5, the derivative is non-negative and is strictly positive whenever there is positive voter density at the threshold. The government does not need to persuade the median citizen in an abstract sense. It needs to move enough voters located near</w:t>
      </w:r>
      <w:r>
        <w:t xml:space="preserve"> </w:t>
      </w:r>
      <m:oMath>
        <m:sSup>
          <m:e>
            <m:r>
              <m:t>b</m:t>
            </m:r>
          </m:e>
          <m:sup>
            <m:r>
              <m:rPr>
                <m:sty m:val="p"/>
              </m:rPr>
              <m:t>*</m:t>
            </m:r>
          </m:sup>
        </m:sSup>
      </m:oMath>
      <w:r>
        <w:t xml:space="preserve">.</w:t>
      </w:r>
    </w:p>
    <w:bookmarkEnd w:id="28"/>
    <w:bookmarkEnd w:id="29"/>
    <w:bookmarkStart w:id="30" w:name="Xde2c606f35da5713c99bfe4f492471f3cf3add7"/>
    <w:p>
      <w:pPr>
        <w:pStyle w:val="Heading2"/>
      </w:pPr>
      <w:r>
        <w:t xml:space="preserve">10. Public signals, coordination and common knowledge</w:t>
      </w:r>
    </w:p>
    <w:p>
      <w:pPr>
        <w:pStyle w:val="FirstParagraph"/>
      </w:pPr>
      <w:r>
        <w:t xml:space="preserve">European reactions matter because they create higher-order beliefs. Let each voter receive a private signal</w:t>
      </w:r>
      <w:r>
        <w:t xml:space="preserve"> </w:t>
      </w:r>
      <m:oMath>
        <m:sSub>
          <m:e>
            <m:r>
              <m:t>s</m:t>
            </m:r>
          </m:e>
          <m:sub>
            <m:r>
              <m:t>i</m:t>
            </m:r>
          </m:sub>
        </m:sSub>
        <m:r>
          <m:rPr>
            <m:sty m:val="p"/>
          </m:rPr>
          <m:t>=</m:t>
        </m:r>
        <m:r>
          <m:t>θ</m:t>
        </m:r>
        <m:r>
          <m:rPr>
            <m:sty m:val="p"/>
          </m:rPr>
          <m:t>+</m:t>
        </m:r>
        <m:sSub>
          <m:e>
            <m:r>
              <m:t>ε</m:t>
            </m:r>
          </m:e>
          <m:sub>
            <m:r>
              <m:t>i</m:t>
            </m:r>
          </m:sub>
        </m:sSub>
      </m:oMath>
      <w:r>
        <w:t xml:space="preserve"> </w:t>
      </w:r>
      <w:r>
        <w:t xml:space="preserve">and a public signal</w:t>
      </w:r>
      <w:r>
        <w:t xml:space="preserve"> </w:t>
      </w:r>
      <m:oMath>
        <m:r>
          <m:t>y</m:t>
        </m:r>
        <m:r>
          <m:rPr>
            <m:sty m:val="p"/>
          </m:rPr>
          <m:t>=</m:t>
        </m:r>
        <m:r>
          <m:t>θ</m:t>
        </m:r>
        <m:r>
          <m:rPr>
            <m:sty m:val="p"/>
          </m:rPr>
          <m:t>+</m:t>
        </m:r>
        <m:r>
          <m:t>η</m:t>
        </m:r>
      </m:oMath>
      <w:r>
        <w:t xml:space="preserve">. Private information can be more precise in aggregate, but the public signal is observed by everyone and therefore coordinates expectations. The relevant hierarchy is:</w:t>
      </w:r>
    </w:p>
    <w:p>
      <w:pPr>
        <w:pStyle w:val="BodyText"/>
      </w:pPr>
      <m:oMathPara>
        <m:oMathParaPr>
          <m:jc m:val="center"/>
        </m:oMathParaPr>
        <m:oMath>
          <m:sSub>
            <m:e>
              <m:r>
                <m:t>E</m:t>
              </m:r>
            </m:e>
            <m:sub>
              <m:r>
                <m:t>i</m:t>
              </m:r>
            </m:sub>
          </m:sSub>
          <m:r>
            <m:rPr>
              <m:sty m:val="p"/>
            </m:rPr>
            <m:t>[</m:t>
          </m:r>
          <m:r>
            <m:t>θ</m:t>
          </m:r>
          <m:r>
            <m:rPr>
              <m:sty m:val="p"/>
            </m:rPr>
            <m:t>]</m:t>
          </m:r>
          <m:r>
            <m:rPr>
              <m:sty m:val="p"/>
            </m:rPr>
            <m:t>,</m:t>
          </m:r>
          <m:r>
            <m:t> </m:t>
          </m:r>
          <m:sSub>
            <m:e>
              <m:r>
                <m:t>E</m:t>
              </m:r>
            </m:e>
            <m:sub>
              <m:r>
                <m:t>i</m:t>
              </m:r>
            </m:sub>
          </m:sSub>
          <m:r>
            <m:rPr>
              <m:sty m:val="p"/>
            </m:rPr>
            <m:t>[</m:t>
          </m:r>
          <m:sSub>
            <m:e>
              <m:r>
                <m:t>E</m:t>
              </m:r>
            </m:e>
            <m:sub>
              <m:r>
                <m:t>j</m:t>
              </m:r>
            </m:sub>
          </m:sSub>
          <m:r>
            <m:rPr>
              <m:sty m:val="p"/>
            </m:rPr>
            <m:t>[</m:t>
          </m:r>
          <m:r>
            <m:t>θ</m:t>
          </m:r>
          <m:r>
            <m:rPr>
              <m:sty m:val="p"/>
            </m:rPr>
            <m:t>]</m:t>
          </m:r>
          <m:r>
            <m:rPr>
              <m:sty m:val="p"/>
            </m:rPr>
            <m:t>]</m:t>
          </m:r>
          <m:r>
            <m:rPr>
              <m:sty m:val="p"/>
            </m:rPr>
            <m:t>,</m:t>
          </m:r>
          <m:r>
            <m:t> </m:t>
          </m:r>
          <m:sSub>
            <m:e>
              <m:r>
                <m:t>E</m:t>
              </m:r>
            </m:e>
            <m:sub>
              <m:r>
                <m:t>i</m:t>
              </m:r>
            </m:sub>
          </m:sSub>
          <m:r>
            <m:rPr>
              <m:sty m:val="p"/>
            </m:rPr>
            <m:t>[</m:t>
          </m:r>
          <m:sSub>
            <m:e>
              <m:r>
                <m:t>E</m:t>
              </m:r>
            </m:e>
            <m:sub>
              <m:r>
                <m:t>j</m:t>
              </m:r>
            </m:sub>
          </m:sSub>
          <m:r>
            <m:rPr>
              <m:sty m:val="p"/>
            </m:rPr>
            <m:t>[</m:t>
          </m:r>
          <m:sSub>
            <m:e>
              <m:r>
                <m:t>E</m:t>
              </m:r>
            </m:e>
            <m:sub>
              <m:r>
                <m:t>k</m:t>
              </m:r>
            </m:sub>
          </m:sSub>
          <m:r>
            <m:rPr>
              <m:sty m:val="p"/>
            </m:rPr>
            <m:t>[</m:t>
          </m:r>
          <m:r>
            <m:t>θ</m:t>
          </m:r>
          <m:r>
            <m:rPr>
              <m:sty m:val="p"/>
            </m:rPr>
            <m:t>]</m:t>
          </m:r>
          <m:r>
            <m:rPr>
              <m:sty m:val="p"/>
            </m:rPr>
            <m:t>]</m:t>
          </m:r>
          <m:r>
            <m:rPr>
              <m:sty m:val="p"/>
            </m:rPr>
            <m:t>]</m:t>
          </m:r>
          <m:r>
            <m:rPr>
              <m:sty m:val="p"/>
            </m:rPr>
            <m:t>,</m:t>
          </m:r>
          <m:r>
            <m:t> </m:t>
          </m:r>
          <m:r>
            <m:rPr>
              <m:sty m:val="p"/>
            </m:rPr>
            <m:t>…</m:t>
          </m:r>
          <m:r>
            <m:t> </m:t>
          </m:r>
          <m:r>
            <m:rPr>
              <m:sty m:val="p"/>
            </m:rPr>
            <m:t>(</m:t>
          </m:r>
          <m:r>
            <m:t>28</m:t>
          </m:r>
          <m:r>
            <m:rPr>
              <m:sty m:val="p"/>
            </m:rPr>
            <m:t>)</m:t>
          </m:r>
        </m:oMath>
      </m:oMathPara>
    </w:p>
    <w:p>
      <w:pPr>
        <w:pStyle w:val="FirstParagraph"/>
      </w:pPr>
      <w:r>
        <w:t xml:space="preserve">When other governments reinforce controls, request emergency discussions or publicly characterise the event as a European security problem, a voter may infer not only that the risk exists but that other voters and institutions also treat it as relevant. Let</w:t>
      </w:r>
      <w:r>
        <w:t xml:space="preserve"> </w:t>
      </w:r>
      <m:oMath>
        <m:r>
          <m:t>K</m:t>
        </m:r>
      </m:oMath>
      <w:r>
        <w:t xml:space="preserve"> </w:t>
      </w:r>
      <w:r>
        <w:t xml:space="preserve">summarise this common-knowledge amplification. Equation (10) then shows why institutional attention can increase perceived risk even when the institutions’ substantive conclusions are cautious.</w:t>
      </w:r>
    </w:p>
    <w:p>
      <w:pPr>
        <w:pStyle w:val="BodyText"/>
      </w:pPr>
      <w:r>
        <w:t xml:space="preserve">This creates a potential informational externality. A government adopting controls for domestic electoral reasons may raise</w:t>
      </w:r>
      <w:r>
        <w:t xml:space="preserve"> </w:t>
      </w:r>
      <m:oMath>
        <m:r>
          <m:t>K</m:t>
        </m:r>
      </m:oMath>
      <w:r>
        <w:t xml:space="preserve"> </w:t>
      </w:r>
      <w:r>
        <w:t xml:space="preserve">for every other government, encouraging further controls and thereby validating the original frame. The process can become self-reinforcing:</w:t>
      </w:r>
    </w:p>
    <w:p>
      <w:pPr>
        <w:pStyle w:val="BodyText"/>
      </w:pPr>
      <m:oMathPara>
        <m:oMathParaPr>
          <m:jc m:val="center"/>
        </m:oMathParaPr>
        <m:oMath>
          <m:sSub>
            <m:e>
              <m:r>
                <m:t>a</m:t>
              </m:r>
            </m:e>
            <m:sub>
              <m:r>
                <m:t>G</m:t>
              </m:r>
            </m:sub>
          </m:sSub>
          <m:r>
            <m:rPr>
              <m:sty m:val="p"/>
            </m:rPr>
            <m:t>↑</m:t>
          </m:r>
          <m:r>
            <m:t> </m:t>
          </m:r>
          <m:r>
            <m:rPr>
              <m:sty m:val="p"/>
            </m:rPr>
            <m:t>⇒</m:t>
          </m:r>
          <m:r>
            <m:t> </m:t>
          </m:r>
          <m:r>
            <m:t>K</m:t>
          </m:r>
          <m:r>
            <m:rPr>
              <m:sty m:val="p"/>
            </m:rPr>
            <m:t>↑</m:t>
          </m:r>
          <m:r>
            <m:t> </m:t>
          </m:r>
          <m:r>
            <m:rPr>
              <m:sty m:val="p"/>
            </m:rPr>
            <m:t>⇒</m:t>
          </m:r>
          <m:r>
            <m:t> </m:t>
          </m:r>
          <m:sSub>
            <m:e>
              <m:acc>
                <m:accPr>
                  <m:chr m:val="̃"/>
                </m:accPr>
                <m:e>
                  <m:r>
                    <m:t>π</m:t>
                  </m:r>
                </m:e>
              </m:acc>
            </m:e>
            <m:sub>
              <m:r>
                <m:t>1</m:t>
              </m:r>
            </m:sub>
          </m:sSub>
          <m:r>
            <m:rPr>
              <m:sty m:val="p"/>
            </m:rPr>
            <m:t>↑</m:t>
          </m:r>
          <m:r>
            <m:t> </m:t>
          </m:r>
          <m:r>
            <m:rPr>
              <m:sty m:val="p"/>
            </m:rPr>
            <m:t>⇒</m:t>
          </m:r>
          <m:r>
            <m:t> </m:t>
          </m:r>
          <m:r>
            <m:rPr>
              <m:nor/>
              <m:sty m:val="p"/>
            </m:rPr>
            <m:t>electoral return to </m:t>
          </m:r>
          <m:sSub>
            <m:e>
              <m:r>
                <m:t>a</m:t>
              </m:r>
            </m:e>
            <m:sub>
              <m:r>
                <m:t>G</m:t>
              </m:r>
            </m:sub>
          </m:sSub>
          <m:r>
            <m:rPr>
              <m:sty m:val="p"/>
            </m:rPr>
            <m:t>↑</m:t>
          </m:r>
          <m:r>
            <m:rPr>
              <m:sty m:val="p"/>
            </m:rPr>
            <m:t>.</m:t>
          </m:r>
          <m:r>
            <m:t> </m:t>
          </m:r>
          <m:r>
            <m:rPr>
              <m:sty m:val="p"/>
            </m:rPr>
            <m:t>(</m:t>
          </m:r>
          <m:r>
            <m:t>29</m:t>
          </m:r>
          <m:r>
            <m:rPr>
              <m:sty m:val="p"/>
            </m:rPr>
            <m:t>)</m:t>
          </m:r>
        </m:oMath>
      </m:oMathPara>
    </w:p>
    <w:p>
      <w:pPr>
        <w:pStyle w:val="FirstParagraph"/>
      </w:pPr>
      <w:r>
        <w:t xml:space="preserve">The resulting equilibrium can display strategic complementarity. Each government’s precaution makes precaution by others more electorally valuable.</w:t>
      </w:r>
    </w:p>
    <w:bookmarkEnd w:id="30"/>
    <w:bookmarkStart w:id="31" w:name="strategic-dominance-theorem"/>
    <w:p>
      <w:pPr>
        <w:pStyle w:val="Heading2"/>
      </w:pPr>
      <w:r>
        <w:t xml:space="preserve">11. Strategic-dominance theorem</w:t>
      </w:r>
    </w:p>
    <w:p>
      <w:pPr>
        <w:pStyle w:val="FirstParagraph"/>
      </w:pPr>
      <w:r>
        <w:t xml:space="preserve">We now combine the mechanisms. Let the net electoral payoff from the Ceuta intervention be:</w:t>
      </w:r>
    </w:p>
    <w:p>
      <w:pPr>
        <w:pStyle w:val="BodyText"/>
      </w:pPr>
      <m:oMathPara>
        <m:oMathParaPr>
          <m:jc m:val="center"/>
        </m:oMathParaPr>
        <m:oMath>
          <m:r>
            <m:rPr>
              <m:sty m:val="p"/>
            </m:rPr>
            <m:t>Δ</m:t>
          </m:r>
          <m:sSub>
            <m:e>
              <m:r>
                <m:t>E</m:t>
              </m:r>
            </m:e>
            <m:sub>
              <m:r>
                <m:t>M</m:t>
              </m:r>
            </m:sub>
          </m:sSub>
          <m:r>
            <m:rPr>
              <m:sty m:val="p"/>
            </m:rPr>
            <m:t>=</m:t>
          </m:r>
          <m:sSub>
            <m:e>
              <m:r>
                <m:t>G</m:t>
              </m:r>
            </m:e>
            <m:sub>
              <m:r>
                <m:t>B</m:t>
              </m:r>
            </m:sub>
          </m:sSub>
          <m:r>
            <m:rPr>
              <m:sty m:val="p"/>
            </m:rPr>
            <m:t>+</m:t>
          </m:r>
          <m:sSub>
            <m:e>
              <m:r>
                <m:t>G</m:t>
              </m:r>
            </m:e>
            <m:sub>
              <m:r>
                <m:t>S</m:t>
              </m:r>
            </m:sub>
          </m:sSub>
          <m:r>
            <m:rPr>
              <m:sty m:val="p"/>
            </m:rPr>
            <m:t>+</m:t>
          </m:r>
          <m:sSub>
            <m:e>
              <m:r>
                <m:t>G</m:t>
              </m:r>
            </m:e>
            <m:sub>
              <m:r>
                <m:t>R</m:t>
              </m:r>
            </m:sub>
          </m:sSub>
          <m:r>
            <m:rPr>
              <m:sty m:val="p"/>
            </m:rPr>
            <m:t>+</m:t>
          </m:r>
          <m:sSub>
            <m:e>
              <m:r>
                <m:t>G</m:t>
              </m:r>
            </m:e>
            <m:sub>
              <m:r>
                <m:t>A</m:t>
              </m:r>
            </m:sub>
          </m:sSub>
          <m:r>
            <m:rPr>
              <m:sty m:val="p"/>
            </m:rPr>
            <m:t>+</m:t>
          </m:r>
          <m:sSub>
            <m:e>
              <m:r>
                <m:t>G</m:t>
              </m:r>
            </m:e>
            <m:sub>
              <m:r>
                <m:t>D</m:t>
              </m:r>
            </m:sub>
          </m:sSub>
          <m:r>
            <m:rPr>
              <m:sty m:val="p"/>
            </m:rPr>
            <m:t>−</m:t>
          </m:r>
          <m:sSub>
            <m:e>
              <m:r>
                <m:t>C</m:t>
              </m:r>
            </m:e>
            <m:sub>
              <m:r>
                <m:t>P</m:t>
              </m:r>
            </m:sub>
          </m:sSub>
          <m:r>
            <m:rPr>
              <m:sty m:val="p"/>
            </m:rPr>
            <m:t>−</m:t>
          </m:r>
          <m:sSub>
            <m:e>
              <m:r>
                <m:t>C</m:t>
              </m:r>
            </m:e>
            <m:sub>
              <m:r>
                <m:t>L</m:t>
              </m:r>
            </m:sub>
          </m:sSub>
          <m:r>
            <m:rPr>
              <m:sty m:val="p"/>
            </m:rPr>
            <m:t>−</m:t>
          </m:r>
          <m:sSub>
            <m:e>
              <m:r>
                <m:t>C</m:t>
              </m:r>
            </m:e>
            <m:sub>
              <m:r>
                <m:t>D</m:t>
              </m:r>
            </m:sub>
          </m:sSub>
          <m:r>
            <m:rPr>
              <m:sty m:val="p"/>
            </m:rPr>
            <m:t>,</m:t>
          </m:r>
          <m:r>
            <m:t> </m:t>
          </m:r>
          <m:r>
            <m:rPr>
              <m:sty m:val="p"/>
            </m:rPr>
            <m:t>(</m:t>
          </m:r>
          <m:r>
            <m:t>30</m:t>
          </m:r>
          <m:r>
            <m:rPr>
              <m:sty m:val="p"/>
            </m:rPr>
            <m:t>)</m:t>
          </m:r>
        </m:oMath>
      </m:oMathPara>
    </w:p>
    <w:p>
      <w:pPr>
        <w:pStyle w:val="FirstParagraph"/>
      </w:pPr>
      <w:r>
        <w:t xml:space="preserve">where</w:t>
      </w:r>
      <w:r>
        <w:t xml:space="preserve"> </w:t>
      </w:r>
      <m:oMath>
        <m:sSub>
          <m:e>
            <m:r>
              <m:t>G</m:t>
            </m:r>
          </m:e>
          <m:sub>
            <m:r>
              <m:t>B</m:t>
            </m:r>
          </m:sub>
        </m:sSub>
      </m:oMath>
      <w:r>
        <w:t xml:space="preserve"> </w:t>
      </w:r>
      <w:r>
        <w:t xml:space="preserve">is the belief-updating gain,</w:t>
      </w:r>
      <w:r>
        <w:t xml:space="preserve"> </w:t>
      </w:r>
      <m:oMath>
        <m:sSub>
          <m:e>
            <m:r>
              <m:t>G</m:t>
            </m:r>
          </m:e>
          <m:sub>
            <m:r>
              <m:t>S</m:t>
            </m:r>
          </m:sub>
        </m:sSub>
      </m:oMath>
      <w:r>
        <w:t xml:space="preserve"> </w:t>
      </w:r>
      <w:r>
        <w:t xml:space="preserve">the issue-salience gain,</w:t>
      </w:r>
      <w:r>
        <w:t xml:space="preserve"> </w:t>
      </w:r>
      <m:oMath>
        <m:sSub>
          <m:e>
            <m:r>
              <m:t>G</m:t>
            </m:r>
          </m:e>
          <m:sub>
            <m:r>
              <m:t>R</m:t>
            </m:r>
          </m:sub>
        </m:sSub>
      </m:oMath>
      <w:r>
        <w:t xml:space="preserve"> </w:t>
      </w:r>
      <w:r>
        <w:t xml:space="preserve">the reputational gain,</w:t>
      </w:r>
      <w:r>
        <w:t xml:space="preserve"> </w:t>
      </w:r>
      <m:oMath>
        <m:sSub>
          <m:e>
            <m:r>
              <m:t>G</m:t>
            </m:r>
          </m:e>
          <m:sub>
            <m:r>
              <m:t>A</m:t>
            </m:r>
          </m:sub>
        </m:sSub>
      </m:oMath>
      <w:r>
        <w:t xml:space="preserve"> </w:t>
      </w:r>
      <w:r>
        <w:t xml:space="preserve">the ambiguity-aversion gain,</w:t>
      </w:r>
      <w:r>
        <w:t xml:space="preserve"> </w:t>
      </w:r>
      <m:oMath>
        <m:sSub>
          <m:e>
            <m:r>
              <m:t>G</m:t>
            </m:r>
          </m:e>
          <m:sub>
            <m:r>
              <m:t>D</m:t>
            </m:r>
          </m:sub>
        </m:sSub>
      </m:oMath>
      <w:r>
        <w:t xml:space="preserve"> </w:t>
      </w:r>
      <w:r>
        <w:t xml:space="preserve">the responsibility-delegation gain, and</w:t>
      </w:r>
      <w:r>
        <w:t xml:space="preserve"> </w:t>
      </w:r>
      <m:oMath>
        <m:sSub>
          <m:e>
            <m:r>
              <m:t>C</m:t>
            </m:r>
          </m:e>
          <m:sub>
            <m:r>
              <m:t>P</m:t>
            </m:r>
          </m:sub>
        </m:sSub>
      </m:oMath>
      <w:r>
        <w:t xml:space="preserve">,</w:t>
      </w:r>
      <w:r>
        <w:t xml:space="preserve"> </w:t>
      </w:r>
      <m:oMath>
        <m:sSub>
          <m:e>
            <m:r>
              <m:t>C</m:t>
            </m:r>
          </m:e>
          <m:sub>
            <m:r>
              <m:t>L</m:t>
            </m:r>
          </m:sub>
        </m:sSub>
      </m:oMath>
      <w:r>
        <w:t xml:space="preserve"> </w:t>
      </w:r>
      <w:r>
        <w:t xml:space="preserve">and</w:t>
      </w:r>
      <w:r>
        <w:t xml:space="preserve"> </w:t>
      </w:r>
      <m:oMath>
        <m:sSub>
          <m:e>
            <m:r>
              <m:t>C</m:t>
            </m:r>
          </m:e>
          <m:sub>
            <m:r>
              <m:t>D</m:t>
            </m:r>
          </m:sub>
        </m:sSub>
      </m:oMath>
      <w:r>
        <w:t xml:space="preserve"> </w:t>
      </w:r>
      <w:r>
        <w:t xml:space="preserve">are policy, legal-institutional and diplomatic costs. Using the pivotal-voter approximation, write:</w:t>
      </w:r>
    </w:p>
    <w:p>
      <w:pPr>
        <w:pStyle w:val="BodyText"/>
      </w:pPr>
      <m:oMathPara>
        <m:oMathParaPr>
          <m:jc m:val="center"/>
        </m:oMathParaPr>
        <m:oMath>
          <m:sSub>
            <m:e>
              <m:r>
                <m:t>G</m:t>
              </m:r>
            </m:e>
            <m:sub>
              <m:r>
                <m:t>B</m:t>
              </m:r>
            </m:sub>
          </m:sSub>
          <m:r>
            <m:rPr>
              <m:sty m:val="p"/>
            </m:rPr>
            <m:t>+</m:t>
          </m:r>
          <m:sSub>
            <m:e>
              <m:r>
                <m:t>G</m:t>
              </m:r>
            </m:e>
            <m:sub>
              <m:r>
                <m:t>S</m:t>
              </m:r>
            </m:sub>
          </m:sSub>
          <m:r>
            <m:rPr>
              <m:sty m:val="p"/>
            </m:rPr>
            <m:t>≈</m:t>
          </m:r>
          <m:sSub>
            <m:e>
              <m:r>
                <m:t>n</m:t>
              </m:r>
            </m:e>
            <m:sub>
              <m:r>
                <m:t>p</m:t>
              </m:r>
            </m:sub>
          </m:sSub>
          <m:r>
            <m:t>f</m:t>
          </m:r>
          <m:r>
            <m:rPr>
              <m:sty m:val="p"/>
            </m:rPr>
            <m:t>(</m:t>
          </m:r>
          <m:sSup>
            <m:e>
              <m:r>
                <m:t>b</m:t>
              </m:r>
            </m:e>
            <m:sup>
              <m:r>
                <m:rPr>
                  <m:sty m:val="p"/>
                </m:rPr>
                <m:t>*</m:t>
              </m:r>
            </m:sup>
          </m:sSup>
          <m:r>
            <m:rPr>
              <m:sty m:val="p"/>
            </m:rPr>
            <m:t>)</m:t>
          </m:r>
          <m:d>
            <m:dPr>
              <m:begChr m:val="["/>
              <m:sepChr m:val=""/>
              <m:endChr m:val="]"/>
              <m:grow/>
            </m:dPr>
            <m:e>
              <m:sSub>
                <m:e>
                  <m:r>
                    <m:t>λ</m:t>
                  </m:r>
                </m:e>
                <m:sub>
                  <m:r>
                    <m:t>m</m:t>
                  </m:r>
                </m:sub>
              </m:sSub>
              <m:r>
                <m:rPr>
                  <m:sty m:val="p"/>
                </m:rPr>
                <m:t>Δ</m:t>
              </m:r>
              <m:sSub>
                <m:e>
                  <m:r>
                    <m:t>u</m:t>
                  </m:r>
                </m:e>
                <m:sub>
                  <m:sSup>
                    <m:e>
                      <m:r>
                        <m:t>m</m:t>
                      </m:r>
                    </m:e>
                    <m:sup>
                      <m:r>
                        <m:rPr>
                          <m:sty m:val="p"/>
                        </m:rPr>
                        <m:t>′</m:t>
                      </m:r>
                    </m:sup>
                  </m:sSup>
                </m:sub>
              </m:sSub>
              <m:r>
                <m:rPr>
                  <m:sty m:val="p"/>
                </m:rPr>
                <m:t>(</m:t>
              </m:r>
              <m:sSub>
                <m:e>
                  <m:acc>
                    <m:accPr>
                      <m:chr m:val="̃"/>
                    </m:accPr>
                    <m:e>
                      <m:r>
                        <m:t>π</m:t>
                      </m:r>
                    </m:e>
                  </m:acc>
                </m:e>
                <m:sub>
                  <m:r>
                    <m:t>1</m:t>
                  </m:r>
                </m:sub>
              </m:sSub>
              <m:r>
                <m:rPr>
                  <m:sty m:val="p"/>
                </m:rPr>
                <m:t>)</m:t>
              </m:r>
              <m:r>
                <m:rPr>
                  <m:sty m:val="p"/>
                </m:rPr>
                <m:t>Δ</m:t>
              </m:r>
              <m:sSub>
                <m:e>
                  <m:acc>
                    <m:accPr>
                      <m:chr m:val="̃"/>
                    </m:accPr>
                    <m:e>
                      <m:r>
                        <m:t>π</m:t>
                      </m:r>
                    </m:e>
                  </m:acc>
                </m:e>
                <m:sub>
                  <m:r>
                    <m:t>1</m:t>
                  </m:r>
                </m:sub>
              </m:sSub>
              <m:r>
                <m:rPr>
                  <m:sty m:val="p"/>
                </m:rPr>
                <m:t>+</m:t>
              </m:r>
              <m:r>
                <m:rPr>
                  <m:sty m:val="p"/>
                </m:rPr>
                <m:t>Δ</m:t>
              </m:r>
              <m:sSub>
                <m:e>
                  <m:r>
                    <m:t>λ</m:t>
                  </m:r>
                </m:e>
                <m:sub>
                  <m:r>
                    <m:t>m</m:t>
                  </m:r>
                </m:sub>
              </m:sSub>
              <m:r>
                <m:rPr>
                  <m:sty m:val="p"/>
                </m:rPr>
                <m:t>Δ</m:t>
              </m:r>
              <m:sSub>
                <m:e>
                  <m:r>
                    <m:t>u</m:t>
                  </m:r>
                </m:e>
                <m:sub>
                  <m:r>
                    <m:t>m</m:t>
                  </m:r>
                </m:sub>
              </m:sSub>
              <m:r>
                <m:rPr>
                  <m:sty m:val="p"/>
                </m:rPr>
                <m:t>(</m:t>
              </m:r>
              <m:sSub>
                <m:e>
                  <m:acc>
                    <m:accPr>
                      <m:chr m:val="̃"/>
                    </m:accPr>
                    <m:e>
                      <m:r>
                        <m:t>π</m:t>
                      </m:r>
                    </m:e>
                  </m:acc>
                </m:e>
                <m:sub>
                  <m:r>
                    <m:t>1</m:t>
                  </m:r>
                </m:sub>
              </m:sSub>
              <m:r>
                <m:rPr>
                  <m:sty m:val="p"/>
                </m:rPr>
                <m:t>)</m:t>
              </m:r>
            </m:e>
          </m:d>
          <m:r>
            <m:rPr>
              <m:sty m:val="p"/>
            </m:rPr>
            <m:t>,</m:t>
          </m:r>
          <m:r>
            <m:t> </m:t>
          </m:r>
          <m:r>
            <m:rPr>
              <m:sty m:val="p"/>
            </m:rPr>
            <m:t>(</m:t>
          </m:r>
          <m:r>
            <m:t>31</m:t>
          </m:r>
          <m:r>
            <m:rPr>
              <m:sty m:val="p"/>
            </m:rPr>
            <m:t>)</m:t>
          </m:r>
        </m:oMath>
      </m:oMathPara>
    </w:p>
    <w:p>
      <w:pPr>
        <w:pStyle w:val="FirstParagraph"/>
      </w:pPr>
      <m:oMathPara>
        <m:oMathParaPr>
          <m:jc m:val="center"/>
        </m:oMathParaPr>
        <m:oMath>
          <m:sSub>
            <m:e>
              <m:r>
                <m:t>G</m:t>
              </m:r>
            </m:e>
            <m:sub>
              <m:r>
                <m:t>R</m:t>
              </m:r>
            </m:sub>
          </m:sSub>
          <m:r>
            <m:rPr>
              <m:sty m:val="p"/>
            </m:rPr>
            <m:t>=</m:t>
          </m:r>
          <m:r>
            <m:t>χ</m:t>
          </m:r>
          <m:r>
            <m:rPr>
              <m:sty m:val="p"/>
            </m:rPr>
            <m:t>Δ</m:t>
          </m:r>
          <m:r>
            <m:t>r</m:t>
          </m:r>
          <m:r>
            <m:rPr>
              <m:sty m:val="p"/>
            </m:rPr>
            <m:t>,</m:t>
          </m:r>
          <m:r>
            <m:t> </m:t>
          </m:r>
          <m:sSub>
            <m:e>
              <m:r>
                <m:t>G</m:t>
              </m:r>
            </m:e>
            <m:sub>
              <m:r>
                <m:t>A</m:t>
              </m:r>
            </m:sub>
          </m:sSub>
          <m:r>
            <m:rPr>
              <m:sty m:val="p"/>
            </m:rPr>
            <m:t>=</m:t>
          </m:r>
          <m:r>
            <m:t>ζ</m:t>
          </m:r>
          <m:r>
            <m:rPr>
              <m:sty m:val="p"/>
            </m:rPr>
            <m:t>(</m:t>
          </m:r>
          <m:acc>
            <m:accPr>
              <m:chr m:val="‾"/>
            </m:accPr>
            <m:e>
              <m:r>
                <m:t>π</m:t>
              </m:r>
            </m:e>
          </m:acc>
          <m:r>
            <m:rPr>
              <m:sty m:val="p"/>
            </m:rPr>
            <m:t>−</m:t>
          </m:r>
          <m:r>
            <m:t>E</m:t>
          </m:r>
          <m:r>
            <m:rPr>
              <m:sty m:val="p"/>
            </m:rPr>
            <m:t>[</m:t>
          </m:r>
          <m:r>
            <m:t>π</m:t>
          </m:r>
          <m:r>
            <m:rPr>
              <m:sty m:val="p"/>
            </m:rPr>
            <m:t>]</m:t>
          </m:r>
          <m:r>
            <m:rPr>
              <m:sty m:val="p"/>
            </m:rPr>
            <m:t>)</m:t>
          </m:r>
          <m:r>
            <m:rPr>
              <m:sty m:val="p"/>
            </m:rPr>
            <m:t>,</m:t>
          </m:r>
          <m:r>
            <m:t> </m:t>
          </m:r>
          <m:sSub>
            <m:e>
              <m:r>
                <m:t>G</m:t>
              </m:r>
            </m:e>
            <m:sub>
              <m:r>
                <m:t>D</m:t>
              </m:r>
            </m:sub>
          </m:sSub>
          <m:r>
            <m:rPr>
              <m:sty m:val="p"/>
            </m:rPr>
            <m:t>=</m:t>
          </m:r>
          <m:r>
            <m:t>ψ</m:t>
          </m:r>
          <m:r>
            <m:rPr>
              <m:sty m:val="p"/>
            </m:rPr>
            <m:t>max</m:t>
          </m:r>
          <m:r>
            <m:rPr>
              <m:sty m:val="p"/>
            </m:rPr>
            <m:t>{</m:t>
          </m:r>
          <m:r>
            <m:t>κ</m:t>
          </m:r>
          <m:r>
            <m:rPr>
              <m:sty m:val="p"/>
            </m:rPr>
            <m:t>−</m:t>
          </m:r>
          <m:sSub>
            <m:e>
              <m:r>
                <m:t>c</m:t>
              </m:r>
            </m:e>
            <m:sub>
              <m:r>
                <m:t>d</m:t>
              </m:r>
            </m:sub>
          </m:sSub>
          <m:r>
            <m:rPr>
              <m:sty m:val="p"/>
            </m:rPr>
            <m:t>,</m:t>
          </m:r>
          <m:r>
            <m:t>0</m:t>
          </m:r>
          <m:r>
            <m:rPr>
              <m:sty m:val="p"/>
            </m:rPr>
            <m:t>}</m:t>
          </m:r>
          <m:r>
            <m:rPr>
              <m:sty m:val="p"/>
            </m:rPr>
            <m:t>.</m:t>
          </m:r>
          <m:r>
            <m:t> </m:t>
          </m:r>
          <m:r>
            <m:rPr>
              <m:sty m:val="p"/>
            </m:rPr>
            <m:t>(</m:t>
          </m:r>
          <m:r>
            <m:t>32</m:t>
          </m:r>
          <m:r>
            <m:rPr>
              <m:sty m:val="p"/>
            </m:rPr>
            <m:t>)</m:t>
          </m:r>
        </m:oMath>
      </m:oMathPara>
    </w:p>
    <w:p>
      <w:pPr>
        <w:pStyle w:val="FirstParagraph"/>
      </w:pPr>
      <w:r>
        <w:rPr>
          <w:b/>
          <w:bCs/>
        </w:rPr>
        <w:t xml:space="preserve">Theorem 1 (Strategic dominance under epistemic inferiority).</w:t>
      </w:r>
      <w:r>
        <w:t xml:space="preserve"> </w:t>
      </w:r>
      <w:r>
        <w:t xml:space="preserve">Suppose S</w:t>
      </w:r>
      <w:r>
        <w:t xml:space="preserve">0E1nchez’s historical base-rate claim is accurate, but the Italian action produces a positive perceived-risk shift</w:t>
      </w:r>
      <w:r>
        <w:t xml:space="preserve"> </w:t>
      </w:r>
      <m:oMath>
        <m:r>
          <m:rPr>
            <m:sty m:val="p"/>
          </m:rPr>
          <m:t>Δ</m:t>
        </m:r>
        <m:sSub>
          <m:e>
            <m:acc>
              <m:accPr>
                <m:chr m:val="̃"/>
              </m:accPr>
              <m:e>
                <m:r>
                  <m:t>π</m:t>
                </m:r>
              </m:e>
            </m:acc>
          </m:e>
          <m:sub>
            <m:r>
              <m:t>1</m:t>
            </m:r>
          </m:sub>
        </m:sSub>
      </m:oMath>
      <w:r>
        <w:t xml:space="preserve">, a positive issue-salience shift</w:t>
      </w:r>
      <w:r>
        <w:t xml:space="preserve"> </w:t>
      </w:r>
      <m:oMath>
        <m:r>
          <m:rPr>
            <m:sty m:val="p"/>
          </m:rPr>
          <m:t>Δ</m:t>
        </m:r>
        <m:sSub>
          <m:e>
            <m:r>
              <m:t>λ</m:t>
            </m:r>
          </m:e>
          <m:sub>
            <m:r>
              <m:t>m</m:t>
            </m:r>
          </m:sub>
        </m:sSub>
      </m:oMath>
      <w:r>
        <w:t xml:space="preserve">, and non-negative reputational, ambiguity and responsibility-transfer gains. Meloni’s strategy yields a strictly positive electoral payoff whenever the following inequality holds:</w:t>
      </w:r>
    </w:p>
    <w:p>
      <w:pPr>
        <w:pStyle w:val="BodyText"/>
      </w:pPr>
      <m:oMathPara>
        <m:oMathParaPr>
          <m:jc m:val="center"/>
        </m:oMathParaPr>
        <m:oMath>
          <m:sSub>
            <m:e>
              <m:r>
                <m:t>n</m:t>
              </m:r>
            </m:e>
            <m:sub>
              <m:r>
                <m:t>p</m:t>
              </m:r>
            </m:sub>
          </m:sSub>
          <m:r>
            <m:t>f</m:t>
          </m:r>
          <m:r>
            <m:rPr>
              <m:sty m:val="p"/>
            </m:rPr>
            <m:t>(</m:t>
          </m:r>
          <m:sSup>
            <m:e>
              <m:r>
                <m:t>b</m:t>
              </m:r>
            </m:e>
            <m:sup>
              <m:r>
                <m:rPr>
                  <m:sty m:val="p"/>
                </m:rPr>
                <m:t>*</m:t>
              </m:r>
            </m:sup>
          </m:sSup>
          <m:r>
            <m:rPr>
              <m:sty m:val="p"/>
            </m:rPr>
            <m:t>)</m:t>
          </m:r>
          <m:d>
            <m:dPr>
              <m:begChr m:val="["/>
              <m:sepChr m:val=""/>
              <m:endChr m:val="]"/>
              <m:grow/>
            </m:dPr>
            <m:e>
              <m:sSub>
                <m:e>
                  <m:r>
                    <m:t>λ</m:t>
                  </m:r>
                </m:e>
                <m:sub>
                  <m:r>
                    <m:t>m</m:t>
                  </m:r>
                </m:sub>
              </m:sSub>
              <m:r>
                <m:rPr>
                  <m:sty m:val="p"/>
                </m:rPr>
                <m:t>Δ</m:t>
              </m:r>
              <m:sSub>
                <m:e>
                  <m:r>
                    <m:t>u</m:t>
                  </m:r>
                </m:e>
                <m:sub>
                  <m:sSup>
                    <m:e>
                      <m:r>
                        <m:t>m</m:t>
                      </m:r>
                    </m:e>
                    <m:sup>
                      <m:r>
                        <m:rPr>
                          <m:sty m:val="p"/>
                        </m:rPr>
                        <m:t>′</m:t>
                      </m:r>
                    </m:sup>
                  </m:sSup>
                </m:sub>
              </m:sSub>
              <m:r>
                <m:rPr>
                  <m:sty m:val="p"/>
                </m:rPr>
                <m:t>(</m:t>
              </m:r>
              <m:sSub>
                <m:e>
                  <m:acc>
                    <m:accPr>
                      <m:chr m:val="̃"/>
                    </m:accPr>
                    <m:e>
                      <m:r>
                        <m:t>π</m:t>
                      </m:r>
                    </m:e>
                  </m:acc>
                </m:e>
                <m:sub>
                  <m:r>
                    <m:t>1</m:t>
                  </m:r>
                </m:sub>
              </m:sSub>
              <m:r>
                <m:rPr>
                  <m:sty m:val="p"/>
                </m:rPr>
                <m:t>)</m:t>
              </m:r>
              <m:r>
                <m:rPr>
                  <m:sty m:val="p"/>
                </m:rPr>
                <m:t>Δ</m:t>
              </m:r>
              <m:sSub>
                <m:e>
                  <m:acc>
                    <m:accPr>
                      <m:chr m:val="̃"/>
                    </m:accPr>
                    <m:e>
                      <m:r>
                        <m:t>π</m:t>
                      </m:r>
                    </m:e>
                  </m:acc>
                </m:e>
                <m:sub>
                  <m:r>
                    <m:t>1</m:t>
                  </m:r>
                </m:sub>
              </m:sSub>
              <m:r>
                <m:rPr>
                  <m:sty m:val="p"/>
                </m:rPr>
                <m:t>+</m:t>
              </m:r>
              <m:r>
                <m:rPr>
                  <m:sty m:val="p"/>
                </m:rPr>
                <m:t>Δ</m:t>
              </m:r>
              <m:sSub>
                <m:e>
                  <m:r>
                    <m:t>λ</m:t>
                  </m:r>
                </m:e>
                <m:sub>
                  <m:r>
                    <m:t>m</m:t>
                  </m:r>
                </m:sub>
              </m:sSub>
              <m:r>
                <m:rPr>
                  <m:sty m:val="p"/>
                </m:rPr>
                <m:t>Δ</m:t>
              </m:r>
              <m:sSub>
                <m:e>
                  <m:r>
                    <m:t>u</m:t>
                  </m:r>
                </m:e>
                <m:sub>
                  <m:r>
                    <m:t>m</m:t>
                  </m:r>
                </m:sub>
              </m:sSub>
              <m:r>
                <m:rPr>
                  <m:sty m:val="p"/>
                </m:rPr>
                <m:t>(</m:t>
              </m:r>
              <m:sSub>
                <m:e>
                  <m:acc>
                    <m:accPr>
                      <m:chr m:val="̃"/>
                    </m:accPr>
                    <m:e>
                      <m:r>
                        <m:t>π</m:t>
                      </m:r>
                    </m:e>
                  </m:acc>
                </m:e>
                <m:sub>
                  <m:r>
                    <m:t>1</m:t>
                  </m:r>
                </m:sub>
              </m:sSub>
              <m:r>
                <m:rPr>
                  <m:sty m:val="p"/>
                </m:rPr>
                <m:t>)</m:t>
              </m:r>
            </m:e>
          </m:d>
          <m:r>
            <m:rPr>
              <m:sty m:val="p"/>
            </m:rPr>
            <m:t>+</m:t>
          </m:r>
          <m:r>
            <m:t>χ</m:t>
          </m:r>
          <m:r>
            <m:rPr>
              <m:sty m:val="p"/>
            </m:rPr>
            <m:t>Δ</m:t>
          </m:r>
          <m:r>
            <m:t>r</m:t>
          </m:r>
          <m:r>
            <m:rPr>
              <m:sty m:val="p"/>
            </m:rPr>
            <m:t>+</m:t>
          </m:r>
          <m:r>
            <m:t>ζ</m:t>
          </m:r>
          <m:r>
            <m:rPr>
              <m:sty m:val="p"/>
            </m:rPr>
            <m:t>(</m:t>
          </m:r>
          <m:acc>
            <m:accPr>
              <m:chr m:val="‾"/>
            </m:accPr>
            <m:e>
              <m:r>
                <m:t>π</m:t>
              </m:r>
            </m:e>
          </m:acc>
          <m:r>
            <m:rPr>
              <m:sty m:val="p"/>
            </m:rPr>
            <m:t>−</m:t>
          </m:r>
          <m:r>
            <m:t>E</m:t>
          </m:r>
          <m:r>
            <m:rPr>
              <m:sty m:val="p"/>
            </m:rPr>
            <m:t>[</m:t>
          </m:r>
          <m:r>
            <m:t>π</m:t>
          </m:r>
          <m:r>
            <m:rPr>
              <m:sty m:val="p"/>
            </m:rPr>
            <m:t>]</m:t>
          </m:r>
          <m:r>
            <m:rPr>
              <m:sty m:val="p"/>
            </m:rPr>
            <m:t>)</m:t>
          </m:r>
          <m:r>
            <m:rPr>
              <m:sty m:val="p"/>
            </m:rPr>
            <m:t>+</m:t>
          </m:r>
          <m:r>
            <m:t>ψ</m:t>
          </m:r>
          <m:r>
            <m:rPr>
              <m:sty m:val="p"/>
            </m:rPr>
            <m:t>max</m:t>
          </m:r>
          <m:r>
            <m:rPr>
              <m:sty m:val="p"/>
            </m:rPr>
            <m:t>{</m:t>
          </m:r>
          <m:r>
            <m:t>κ</m:t>
          </m:r>
          <m:r>
            <m:rPr>
              <m:sty m:val="p"/>
            </m:rPr>
            <m:t>−</m:t>
          </m:r>
          <m:sSub>
            <m:e>
              <m:r>
                <m:t>c</m:t>
              </m:r>
            </m:e>
            <m:sub>
              <m:r>
                <m:t>d</m:t>
              </m:r>
            </m:sub>
          </m:sSub>
          <m:r>
            <m:rPr>
              <m:sty m:val="p"/>
            </m:rPr>
            <m:t>,</m:t>
          </m:r>
          <m:r>
            <m:t>0</m:t>
          </m:r>
          <m:r>
            <m:rPr>
              <m:sty m:val="p"/>
            </m:rPr>
            <m:t>}</m:t>
          </m:r>
          <m:r>
            <m:rPr>
              <m:sty m:val="p"/>
            </m:rPr>
            <m:t>&gt;</m:t>
          </m:r>
          <m:sSub>
            <m:e>
              <m:r>
                <m:t>C</m:t>
              </m:r>
            </m:e>
            <m:sub>
              <m:r>
                <m:t>P</m:t>
              </m:r>
            </m:sub>
          </m:sSub>
          <m:r>
            <m:rPr>
              <m:sty m:val="p"/>
            </m:rPr>
            <m:t>+</m:t>
          </m:r>
          <m:sSub>
            <m:e>
              <m:r>
                <m:t>C</m:t>
              </m:r>
            </m:e>
            <m:sub>
              <m:r>
                <m:t>L</m:t>
              </m:r>
            </m:sub>
          </m:sSub>
          <m:r>
            <m:rPr>
              <m:sty m:val="p"/>
            </m:rPr>
            <m:t>+</m:t>
          </m:r>
          <m:sSub>
            <m:e>
              <m:r>
                <m:t>C</m:t>
              </m:r>
            </m:e>
            <m:sub>
              <m:r>
                <m:t>D</m:t>
              </m:r>
            </m:sub>
          </m:sSub>
          <m:r>
            <m:rPr>
              <m:sty m:val="p"/>
            </m:rPr>
            <m:t>.</m:t>
          </m:r>
        </m:oMath>
      </m:oMathPara>
    </w:p>
    <w:p>
      <w:pPr>
        <w:pStyle w:val="FirstParagraph"/>
      </w:pPr>
      <w:r>
        <w:t xml:space="preserve">This condition is logically independent of the truth of the historical comparison</w:t>
      </w:r>
      <w:r>
        <w:t xml:space="preserve"> </w:t>
      </w:r>
      <m:oMath>
        <m:sSub>
          <m:e>
            <m:r>
              <m:t>M</m:t>
            </m:r>
          </m:e>
          <m:sub>
            <m:r>
              <m:t>I</m:t>
            </m:r>
          </m:sub>
        </m:sSub>
        <m:r>
          <m:rPr>
            <m:sty m:val="p"/>
          </m:rPr>
          <m:t>&gt;</m:t>
        </m:r>
        <m:sSub>
          <m:e>
            <m:r>
              <m:t>M</m:t>
            </m:r>
          </m:e>
          <m:sub>
            <m:r>
              <m:t>S</m:t>
            </m:r>
          </m:sub>
        </m:sSub>
      </m:oMath>
      <w:r>
        <w:t xml:space="preserve">.</w:t>
      </w:r>
    </w:p>
    <w:p>
      <w:pPr>
        <w:pStyle w:val="BodyText"/>
      </w:pPr>
      <w:r>
        <w:rPr>
          <w:b/>
          <w:bCs/>
        </w:rPr>
        <w:t xml:space="preserve">Proof.</w:t>
      </w:r>
      <w:r>
        <w:t xml:space="preserve"> </w:t>
      </w:r>
      <w:r>
        <w:t xml:space="preserve">By equations (30)</w:t>
      </w:r>
      <w:r>
        <w:t xml:space="preserve">013(32), the left-hand side is the sum of all marginal electoral gains generated by belief movement, endogenous issue selection, reputation, ambiguity and delegation. The right-hand side is the total cost of intervention. If the stated inequality holds,</w:t>
      </w:r>
      <w:r>
        <w:t xml:space="preserve"> </w:t>
      </w:r>
      <m:oMath>
        <m:r>
          <m:rPr>
            <m:sty m:val="p"/>
          </m:rPr>
          <m:t>Δ</m:t>
        </m:r>
        <m:sSub>
          <m:e>
            <m:r>
              <m:t>E</m:t>
            </m:r>
          </m:e>
          <m:sub>
            <m:r>
              <m:t>M</m:t>
            </m:r>
          </m:sub>
        </m:sSub>
        <m:r>
          <m:rPr>
            <m:sty m:val="p"/>
          </m:rPr>
          <m:t>&gt;</m:t>
        </m:r>
        <m:r>
          <m:t>0</m:t>
        </m:r>
      </m:oMath>
      <w:r>
        <w:t xml:space="preserve"> </w:t>
      </w:r>
      <w:r>
        <w:t xml:space="preserve">by direct substitution. The historical comparison</w:t>
      </w:r>
      <w:r>
        <w:t xml:space="preserve"> </w:t>
      </w:r>
      <m:oMath>
        <m:sSub>
          <m:e>
            <m:r>
              <m:t>M</m:t>
            </m:r>
          </m:e>
          <m:sub>
            <m:r>
              <m:t>I</m:t>
            </m:r>
          </m:sub>
        </m:sSub>
        <m:r>
          <m:rPr>
            <m:sty m:val="p"/>
          </m:rPr>
          <m:t>&gt;</m:t>
        </m:r>
        <m:sSub>
          <m:e>
            <m:r>
              <m:t>M</m:t>
            </m:r>
          </m:e>
          <m:sub>
            <m:r>
              <m:t>S</m:t>
            </m:r>
          </m:sub>
        </m:sSub>
      </m:oMath>
      <w:r>
        <w:t xml:space="preserve"> </w:t>
      </w:r>
      <w:r>
        <w:t xml:space="preserve">affects the data term</w:t>
      </w:r>
      <w:r>
        <w:t xml:space="preserve"> </w:t>
      </w:r>
      <m:oMath>
        <m:r>
          <m:t>D</m:t>
        </m:r>
      </m:oMath>
      <w:r>
        <w:t xml:space="preserve"> </w:t>
      </w:r>
      <w:r>
        <w:t xml:space="preserve">and potentially the objective likelihood ratio, but it does not algebraically determine</w:t>
      </w:r>
      <w:r>
        <w:t xml:space="preserve"> </w:t>
      </w:r>
      <m:oMath>
        <m:r>
          <m:rPr>
            <m:sty m:val="p"/>
          </m:rPr>
          <m:t>Δ</m:t>
        </m:r>
        <m:sSub>
          <m:e>
            <m:r>
              <m:t>λ</m:t>
            </m:r>
          </m:e>
          <m:sub>
            <m:r>
              <m:t>m</m:t>
            </m:r>
          </m:sub>
        </m:sSub>
      </m:oMath>
      <w:r>
        <w:t xml:space="preserve">,</w:t>
      </w:r>
      <w:r>
        <w:t xml:space="preserve"> </w:t>
      </w:r>
      <m:oMath>
        <m:r>
          <m:rPr>
            <m:sty m:val="p"/>
          </m:rPr>
          <m:t>Δ</m:t>
        </m:r>
        <m:r>
          <m:t>r</m:t>
        </m:r>
      </m:oMath>
      <w:r>
        <w:t xml:space="preserve">,</w:t>
      </w:r>
      <w:r>
        <w:t xml:space="preserve"> </w:t>
      </w:r>
      <m:oMath>
        <m:acc>
          <m:accPr>
            <m:chr m:val="‾"/>
          </m:accPr>
          <m:e>
            <m:r>
              <m:t>π</m:t>
            </m:r>
          </m:e>
        </m:acc>
      </m:oMath>
      <w:r>
        <w:t xml:space="preserve">,</w:t>
      </w:r>
      <w:r>
        <w:t xml:space="preserve"> </w:t>
      </w:r>
      <m:oMath>
        <m:r>
          <m:t>κ</m:t>
        </m:r>
      </m:oMath>
      <w:r>
        <w:t xml:space="preserve">, the density</w:t>
      </w:r>
      <w:r>
        <w:t xml:space="preserve"> </w:t>
      </w:r>
      <m:oMath>
        <m:r>
          <m:t>f</m:t>
        </m:r>
        <m:r>
          <m:rPr>
            <m:sty m:val="p"/>
          </m:rPr>
          <m:t>(</m:t>
        </m:r>
        <m:sSup>
          <m:e>
            <m:r>
              <m:t>b</m:t>
            </m:r>
          </m:e>
          <m:sup>
            <m:r>
              <m:rPr>
                <m:sty m:val="p"/>
              </m:rPr>
              <m:t>*</m:t>
            </m:r>
          </m:sup>
        </m:sSup>
        <m:r>
          <m:rPr>
            <m:sty m:val="p"/>
          </m:rPr>
          <m:t>)</m:t>
        </m:r>
      </m:oMath>
      <w:r>
        <w:t xml:space="preserve"> </w:t>
      </w:r>
      <w:r>
        <w:t xml:space="preserve">or the policy costs. Hence the electoral inequality can hold while S</w:t>
      </w:r>
      <w:r>
        <w:t xml:space="preserve">0E1nchez’s descriptive claim remains true.</w:t>
      </w:r>
      <w:r>
        <w:t xml:space="preserve"> </w:t>
      </w:r>
      <w:r>
        <w:t xml:space="preserve">5A1</w:t>
      </w:r>
    </w:p>
    <w:p>
      <w:pPr>
        <w:pStyle w:val="BodyText"/>
      </w:pPr>
      <w:r>
        <w:rPr>
          <w:b/>
          <w:bCs/>
        </w:rPr>
        <w:t xml:space="preserve">Corollary 1 (The technocratic-correction failure).</w:t>
      </w:r>
      <w:r>
        <w:t xml:space="preserve"> </w:t>
      </w:r>
      <w:r>
        <w:t xml:space="preserve">A strategy that increases</w:t>
      </w:r>
      <w:r>
        <w:t xml:space="preserve"> </w:t>
      </w:r>
      <m:oMath>
        <m:r>
          <m:t>γ</m:t>
        </m:r>
        <m:r>
          <m:t>D</m:t>
        </m:r>
      </m:oMath>
      <w:r>
        <w:t xml:space="preserve"> </w:t>
      </w:r>
      <w:r>
        <w:t xml:space="preserve">but leaves</w:t>
      </w:r>
      <w:r>
        <w:t xml:space="preserve"> </w:t>
      </w:r>
      <m:oMath>
        <m:sSub>
          <m:e>
            <m:r>
              <m:t>λ</m:t>
            </m:r>
          </m:e>
          <m:sub>
            <m:r>
              <m:t>m</m:t>
            </m:r>
          </m:sub>
        </m:sSub>
      </m:oMath>
      <w:r>
        <w:t xml:space="preserve">,</w:t>
      </w:r>
      <w:r>
        <w:t xml:space="preserve"> </w:t>
      </w:r>
      <m:oMath>
        <m:r>
          <m:t>K</m:t>
        </m:r>
      </m:oMath>
      <w:r>
        <w:t xml:space="preserve">,</w:t>
      </w:r>
      <w:r>
        <w:t xml:space="preserve"> </w:t>
      </w:r>
      <m:oMath>
        <m:r>
          <m:t>r</m:t>
        </m:r>
      </m:oMath>
      <w:r>
        <w:t xml:space="preserve"> </w:t>
      </w:r>
      <w:r>
        <w:t xml:space="preserve">and</w:t>
      </w:r>
      <w:r>
        <w:t xml:space="preserve"> </w:t>
      </w:r>
      <m:oMath>
        <m:acc>
          <m:accPr>
            <m:chr m:val="‾"/>
          </m:accPr>
          <m:e>
            <m:r>
              <m:t>π</m:t>
            </m:r>
          </m:e>
        </m:acc>
      </m:oMath>
      <w:r>
        <w:t xml:space="preserve"> </w:t>
      </w:r>
      <w:r>
        <w:t xml:space="preserve">unchanged can lose electorally even when it improves the accuracy of average beliefs.</w:t>
      </w:r>
    </w:p>
    <w:p>
      <w:pPr>
        <w:pStyle w:val="BodyText"/>
      </w:pPr>
      <w:r>
        <w:rPr>
          <w:b/>
          <w:bCs/>
        </w:rPr>
        <w:t xml:space="preserve">Proof.</w:t>
      </w:r>
      <w:r>
        <w:t xml:space="preserve"> </w:t>
      </w:r>
      <w:r>
        <w:t xml:space="preserve">Increasing</w:t>
      </w:r>
      <w:r>
        <w:t xml:space="preserve"> </w:t>
      </w:r>
      <m:oMath>
        <m:r>
          <m:t>D</m:t>
        </m:r>
      </m:oMath>
      <w:r>
        <w:t xml:space="preserve"> </w:t>
      </w:r>
      <w:r>
        <w:t xml:space="preserve">lowers</w:t>
      </w:r>
      <w:r>
        <w:t xml:space="preserve"> </w:t>
      </w:r>
      <m:oMath>
        <m:sSub>
          <m:e>
            <m:acc>
              <m:accPr>
                <m:chr m:val="̃"/>
              </m:accPr>
              <m:e>
                <m:r>
                  <m:t>π</m:t>
                </m:r>
              </m:e>
            </m:acc>
          </m:e>
          <m:sub>
            <m:r>
              <m:t>1</m:t>
            </m:r>
          </m:sub>
        </m:sSub>
      </m:oMath>
      <w:r>
        <w:t xml:space="preserve"> </w:t>
      </w:r>
      <w:r>
        <w:t xml:space="preserve">through equation (10), but it need not alter the issue weight</w:t>
      </w:r>
      <w:r>
        <w:t xml:space="preserve"> </w:t>
      </w:r>
      <m:oMath>
        <m:sSub>
          <m:e>
            <m:r>
              <m:t>λ</m:t>
            </m:r>
          </m:e>
          <m:sub>
            <m:r>
              <m:t>m</m:t>
            </m:r>
          </m:sub>
        </m:sSub>
      </m:oMath>
      <w:r>
        <w:t xml:space="preserve">, the public-coordination term</w:t>
      </w:r>
      <w:r>
        <w:t xml:space="preserve"> </w:t>
      </w:r>
      <m:oMath>
        <m:r>
          <m:t>K</m:t>
        </m:r>
      </m:oMath>
      <w:r>
        <w:t xml:space="preserve">, the protective reputation</w:t>
      </w:r>
      <w:r>
        <w:t xml:space="preserve"> </w:t>
      </w:r>
      <m:oMath>
        <m:r>
          <m:t>r</m:t>
        </m:r>
      </m:oMath>
      <w:r>
        <w:t xml:space="preserve"> </w:t>
      </w:r>
      <w:r>
        <w:t xml:space="preserve">or the ambiguity bound</w:t>
      </w:r>
      <w:r>
        <w:t xml:space="preserve"> </w:t>
      </w:r>
      <m:oMath>
        <m:acc>
          <m:accPr>
            <m:chr m:val="‾"/>
          </m:accPr>
          <m:e>
            <m:r>
              <m:t>π</m:t>
            </m:r>
          </m:e>
        </m:acc>
      </m:oMath>
      <w:r>
        <w:t xml:space="preserve">. If these remaining terms satisfy Theorem 1, the data intervention is insufficient to reverse the electoral payoff.</w:t>
      </w:r>
      <w:r>
        <w:t xml:space="preserve"> </w:t>
      </w:r>
      <w:r>
        <w:t xml:space="preserve">5A1</w:t>
      </w:r>
    </w:p>
    <w:p>
      <w:pPr>
        <w:pStyle w:val="BodyText"/>
      </w:pPr>
      <w:r>
        <w:rPr>
          <w:b/>
          <w:bCs/>
        </w:rPr>
        <w:t xml:space="preserve">Corollary 2 (Small-risk, large-payoff result).</w:t>
      </w:r>
      <w:r>
        <w:t xml:space="preserve"> </w:t>
      </w:r>
      <w:r>
        <w:t xml:space="preserve">For any objective posterior</w:t>
      </w:r>
      <w:r>
        <w:t xml:space="preserve"> </w:t>
      </w:r>
      <m:oMath>
        <m:sSub>
          <m:e>
            <m:r>
              <m:t>π</m:t>
            </m:r>
          </m:e>
          <m:sub>
            <m:r>
              <m:t>1</m:t>
            </m:r>
          </m:sub>
        </m:sSub>
        <m:r>
          <m:rPr>
            <m:sty m:val="p"/>
          </m:rPr>
          <m:t>&gt;</m:t>
        </m:r>
        <m:r>
          <m:t>0</m:t>
        </m:r>
      </m:oMath>
      <w:r>
        <w:t xml:space="preserve">, there exist sufficiently large values of</w:t>
      </w:r>
      <w:r>
        <w:t xml:space="preserve"> </w:t>
      </w:r>
      <m:oMath>
        <m:r>
          <m:t>λ</m:t>
        </m:r>
      </m:oMath>
      <w:r>
        <w:t xml:space="preserve">,</w:t>
      </w:r>
      <w:r>
        <w:t xml:space="preserve"> </w:t>
      </w:r>
      <m:oMath>
        <m:r>
          <m:t>L</m:t>
        </m:r>
      </m:oMath>
      <w:r>
        <w:t xml:space="preserve">,</w:t>
      </w:r>
      <w:r>
        <w:t xml:space="preserve"> </w:t>
      </w:r>
      <m:oMath>
        <m:r>
          <m:t>α</m:t>
        </m:r>
      </m:oMath>
      <w:r>
        <w:t xml:space="preserve">,</w:t>
      </w:r>
      <w:r>
        <w:t xml:space="preserve"> </w:t>
      </w:r>
      <m:oMath>
        <m:r>
          <m:t>β</m:t>
        </m:r>
      </m:oMath>
      <w:r>
        <w:t xml:space="preserve">,</w:t>
      </w:r>
      <w:r>
        <w:t xml:space="preserve"> </w:t>
      </w:r>
      <m:oMath>
        <m:r>
          <m:t>φ</m:t>
        </m:r>
      </m:oMath>
      <w:r>
        <w:t xml:space="preserve">,</w:t>
      </w:r>
      <w:r>
        <w:t xml:space="preserve"> </w:t>
      </w:r>
      <m:oMath>
        <m:r>
          <m:t>κ</m:t>
        </m:r>
      </m:oMath>
      <w:r>
        <w:t xml:space="preserve"> </w:t>
      </w:r>
      <w:r>
        <w:t xml:space="preserve">or</w:t>
      </w:r>
      <w:r>
        <w:t xml:space="preserve"> </w:t>
      </w:r>
      <m:oMath>
        <m:r>
          <m:t>f</m:t>
        </m:r>
        <m:r>
          <m:rPr>
            <m:sty m:val="p"/>
          </m:rPr>
          <m:t>(</m:t>
        </m:r>
        <m:sSup>
          <m:e>
            <m:r>
              <m:t>b</m:t>
            </m:r>
          </m:e>
          <m:sup>
            <m:r>
              <m:rPr>
                <m:sty m:val="p"/>
              </m:rPr>
              <m:t>*</m:t>
            </m:r>
          </m:sup>
        </m:sSup>
        <m:r>
          <m:rPr>
            <m:sty m:val="p"/>
          </m:rPr>
          <m:t>)</m:t>
        </m:r>
      </m:oMath>
      <w:r>
        <w:t xml:space="preserve"> </w:t>
      </w:r>
      <w:r>
        <w:t xml:space="preserve">such that the intervention is electorally profitable.</w:t>
      </w:r>
    </w:p>
    <w:p>
      <w:pPr>
        <w:pStyle w:val="BodyText"/>
      </w:pPr>
      <w:r>
        <w:rPr>
          <w:b/>
          <w:bCs/>
        </w:rPr>
        <w:t xml:space="preserve">Proof.</w:t>
      </w:r>
      <w:r>
        <w:t xml:space="preserve"> </w:t>
      </w:r>
      <w:r>
        <w:t xml:space="preserve">Propositions 1</w:t>
      </w:r>
      <w:r>
        <w:t xml:space="preserve">0134 and equation (27) show that electoral gains are increasing in these parameters. Because the cost side is finite, at least one sufficiently large gain parameter makes the inequality in Theorem 1 hold even when</w:t>
      </w:r>
      <w:r>
        <w:t xml:space="preserve"> </w:t>
      </w:r>
      <m:oMath>
        <m:sSub>
          <m:e>
            <m:r>
              <m:t>π</m:t>
            </m:r>
          </m:e>
          <m:sub>
            <m:r>
              <m:t>1</m:t>
            </m:r>
          </m:sub>
        </m:sSub>
      </m:oMath>
      <w:r>
        <w:t xml:space="preserve"> </w:t>
      </w:r>
      <w:r>
        <w:t xml:space="preserve">is arbitrarily small but positive.</w:t>
      </w:r>
      <w:r>
        <w:t xml:space="preserve"> </w:t>
      </w:r>
      <w:r>
        <w:t xml:space="preserve">5A1</w:t>
      </w:r>
    </w:p>
    <w:bookmarkEnd w:id="31"/>
    <w:bookmarkStart w:id="32" w:name="numerical-calibration"/>
    <w:p>
      <w:pPr>
        <w:pStyle w:val="Heading2"/>
      </w:pPr>
      <w:r>
        <w:t xml:space="preserve">12. Numerical calibration</w:t>
      </w:r>
    </w:p>
    <w:p>
      <w:pPr>
        <w:pStyle w:val="FirstParagraph"/>
      </w:pPr>
      <w:r>
        <w:t xml:space="preserve">The following calibration is illustrative rather than empirical estimation. Suppose the pre-event probability of material onward movement to Italy is</w:t>
      </w:r>
      <w:r>
        <w:t xml:space="preserve"> </w:t>
      </w:r>
      <m:oMath>
        <m:sSub>
          <m:e>
            <m:r>
              <m:t>π</m:t>
            </m:r>
          </m:e>
          <m:sub>
            <m:r>
              <m:t>0</m:t>
            </m:r>
          </m:sub>
        </m:sSub>
        <m:r>
          <m:rPr>
            <m:sty m:val="p"/>
          </m:rPr>
          <m:t>=</m:t>
        </m:r>
        <m:r>
          <m:t>0.02</m:t>
        </m:r>
      </m:oMath>
      <w:r>
        <w:t xml:space="preserve">. Let the objective likelihood ratio generated by the Ceuta shock be</w:t>
      </w:r>
      <w:r>
        <w:t xml:space="preserve"> </w:t>
      </w:r>
      <m:oMath>
        <m:r>
          <m:rPr>
            <m:sty m:val="p"/>
          </m:rPr>
          <m:t>Λ</m:t>
        </m:r>
        <m:r>
          <m:rPr>
            <m:sty m:val="p"/>
          </m:rPr>
          <m:t>=</m:t>
        </m:r>
        <m:r>
          <m:t>1.5</m:t>
        </m:r>
      </m:oMath>
      <w:r>
        <w:t xml:space="preserve">. The objective posterior odds are:</w:t>
      </w:r>
    </w:p>
    <w:p>
      <w:pPr>
        <w:pStyle w:val="BodyText"/>
      </w:pPr>
      <m:oMathPara>
        <m:oMathParaPr>
          <m:jc m:val="center"/>
        </m:oMathParaPr>
        <m:oMath>
          <m:sSub>
            <m:e>
              <m:r>
                <m:t>O</m:t>
              </m:r>
            </m:e>
            <m:sub>
              <m:r>
                <m:t>0</m:t>
              </m:r>
            </m:sub>
          </m:sSub>
          <m:r>
            <m:rPr>
              <m:sty m:val="p"/>
            </m:rPr>
            <m:t>=</m:t>
          </m:r>
          <m:r>
            <m:t>0.02</m:t>
          </m:r>
          <m:r>
            <m:rPr>
              <m:sty m:val="p"/>
            </m:rPr>
            <m:t>/</m:t>
          </m:r>
          <m:r>
            <m:t>0.98</m:t>
          </m:r>
          <m:r>
            <m:rPr>
              <m:sty m:val="p"/>
            </m:rPr>
            <m:t>≈</m:t>
          </m:r>
          <m:r>
            <m:t>0.0204</m:t>
          </m:r>
          <m:r>
            <m:rPr>
              <m:sty m:val="p"/>
            </m:rPr>
            <m:t>.</m:t>
          </m:r>
          <m:r>
            <m:t> </m:t>
          </m:r>
          <m:r>
            <m:rPr>
              <m:sty m:val="p"/>
            </m:rPr>
            <m:t>(</m:t>
          </m:r>
          <m:r>
            <m:t>33</m:t>
          </m:r>
          <m:r>
            <m:rPr>
              <m:sty m:val="p"/>
            </m:rPr>
            <m:t>)</m:t>
          </m:r>
        </m:oMath>
      </m:oMathPara>
    </w:p>
    <w:p>
      <w:pPr>
        <w:pStyle w:val="FirstParagraph"/>
      </w:pPr>
      <m:oMathPara>
        <m:oMathParaPr>
          <m:jc m:val="center"/>
        </m:oMathParaPr>
        <m:oMath>
          <m:sSub>
            <m:e>
              <m:r>
                <m:t>O</m:t>
              </m:r>
            </m:e>
            <m:sub>
              <m:r>
                <m:t>1</m:t>
              </m:r>
            </m:sub>
          </m:sSub>
          <m:r>
            <m:rPr>
              <m:sty m:val="p"/>
            </m:rPr>
            <m:t>=</m:t>
          </m:r>
          <m:sSub>
            <m:e>
              <m:r>
                <m:t>O</m:t>
              </m:r>
            </m:e>
            <m:sub>
              <m:r>
                <m:t>0</m:t>
              </m:r>
            </m:sub>
          </m:sSub>
          <m:r>
            <m:rPr>
              <m:sty m:val="p"/>
            </m:rPr>
            <m:t>Λ</m:t>
          </m:r>
          <m:r>
            <m:rPr>
              <m:sty m:val="p"/>
            </m:rPr>
            <m:t>≈</m:t>
          </m:r>
          <m:r>
            <m:t>0.0306</m:t>
          </m:r>
          <m:r>
            <m:rPr>
              <m:sty m:val="p"/>
            </m:rPr>
            <m:t>,</m:t>
          </m:r>
          <m:r>
            <m:t> </m:t>
          </m:r>
          <m:sSub>
            <m:e>
              <m:r>
                <m:t>π</m:t>
              </m:r>
            </m:e>
            <m:sub>
              <m:r>
                <m:t>1</m:t>
              </m:r>
            </m:sub>
          </m:sSub>
          <m:r>
            <m:rPr>
              <m:sty m:val="p"/>
            </m:rPr>
            <m:t>=</m:t>
          </m:r>
          <m:f>
            <m:fPr>
              <m:type m:val="bar"/>
            </m:fPr>
            <m:num>
              <m:sSub>
                <m:e>
                  <m:r>
                    <m:t>O</m:t>
                  </m:r>
                </m:e>
                <m:sub>
                  <m:r>
                    <m:t>1</m:t>
                  </m:r>
                </m:sub>
              </m:sSub>
            </m:num>
            <m:den>
              <m:r>
                <m:t>1</m:t>
              </m:r>
              <m:r>
                <m:rPr>
                  <m:sty m:val="p"/>
                </m:rPr>
                <m:t>+</m:t>
              </m:r>
              <m:sSub>
                <m:e>
                  <m:r>
                    <m:t>O</m:t>
                  </m:r>
                </m:e>
                <m:sub>
                  <m:r>
                    <m:t>1</m:t>
                  </m:r>
                </m:sub>
              </m:sSub>
            </m:den>
          </m:f>
          <m:r>
            <m:rPr>
              <m:sty m:val="p"/>
            </m:rPr>
            <m:t>≈</m:t>
          </m:r>
          <m:r>
            <m:t>0.0297</m:t>
          </m:r>
          <m:r>
            <m:rPr>
              <m:sty m:val="p"/>
            </m:rPr>
            <m:t>.</m:t>
          </m:r>
          <m:r>
            <m:t> </m:t>
          </m:r>
          <m:r>
            <m:rPr>
              <m:sty m:val="p"/>
            </m:rPr>
            <m:t>(</m:t>
          </m:r>
          <m:r>
            <m:t>34</m:t>
          </m:r>
          <m:r>
            <m:rPr>
              <m:sty m:val="p"/>
            </m:rPr>
            <m:t>)</m:t>
          </m:r>
        </m:oMath>
      </m:oMathPara>
    </w:p>
    <w:p>
      <w:pPr>
        <w:pStyle w:val="FirstParagraph"/>
      </w:pPr>
      <w:r>
        <w:t xml:space="preserve">The evidence-based estimate therefore rises from 2 per cent to approximately 3 per cent. Now suppose the combined salience, elite-action and common-knowledge multiplier is</w:t>
      </w:r>
      <w:r>
        <w:t xml:space="preserve"> </w:t>
      </w:r>
      <m:oMath>
        <m:r>
          <m:rPr>
            <m:sty m:val="p"/>
          </m:rPr>
          <m:t>exp</m:t>
        </m:r>
        <m:r>
          <m:rPr>
            <m:sty m:val="p"/>
          </m:rPr>
          <m:t>(</m:t>
        </m:r>
        <m:r>
          <m:t>α</m:t>
        </m:r>
        <m:sSub>
          <m:e>
            <m:r>
              <m:t>s</m:t>
            </m:r>
          </m:e>
          <m:sub>
            <m:r>
              <m:t>C</m:t>
            </m:r>
          </m:sub>
        </m:sSub>
        <m:r>
          <m:rPr>
            <m:sty m:val="p"/>
          </m:rPr>
          <m:t>+</m:t>
        </m:r>
        <m:r>
          <m:t>β</m:t>
        </m:r>
        <m:r>
          <m:t>a</m:t>
        </m:r>
        <m:r>
          <m:rPr>
            <m:sty m:val="p"/>
          </m:rPr>
          <m:t>+</m:t>
        </m:r>
        <m:r>
          <m:t>φ</m:t>
        </m:r>
        <m:r>
          <m:t>K</m:t>
        </m:r>
        <m:r>
          <m:rPr>
            <m:sty m:val="p"/>
          </m:rPr>
          <m:t>−</m:t>
        </m:r>
        <m:r>
          <m:t>γ</m:t>
        </m:r>
        <m:r>
          <m:t>D</m:t>
        </m:r>
        <m:r>
          <m:rPr>
            <m:sty m:val="p"/>
          </m:rPr>
          <m:t>)</m:t>
        </m:r>
        <m:r>
          <m:rPr>
            <m:sty m:val="p"/>
          </m:rPr>
          <m:t>=</m:t>
        </m:r>
        <m:r>
          <m:t>5</m:t>
        </m:r>
      </m:oMath>
      <w:r>
        <w:t xml:space="preserve">. The perceived odds and posterior become:</w:t>
      </w:r>
    </w:p>
    <w:p>
      <w:pPr>
        <w:pStyle w:val="BodyText"/>
      </w:pPr>
      <m:oMathPara>
        <m:oMathParaPr>
          <m:jc m:val="center"/>
        </m:oMathParaPr>
        <m:oMath>
          <m:sSub>
            <m:e>
              <m:acc>
                <m:accPr>
                  <m:chr m:val="̃"/>
                </m:accPr>
                <m:e>
                  <m:r>
                    <m:t>O</m:t>
                  </m:r>
                </m:e>
              </m:acc>
            </m:e>
            <m:sub>
              <m:r>
                <m:t>1</m:t>
              </m:r>
            </m:sub>
          </m:sSub>
          <m:r>
            <m:rPr>
              <m:sty m:val="p"/>
            </m:rPr>
            <m:t>=</m:t>
          </m:r>
          <m:r>
            <m:t>0.0204</m:t>
          </m:r>
          <m:r>
            <m:rPr>
              <m:sty m:val="p"/>
            </m:rPr>
            <m:t>×</m:t>
          </m:r>
          <m:r>
            <m:t>1.5</m:t>
          </m:r>
          <m:r>
            <m:rPr>
              <m:sty m:val="p"/>
            </m:rPr>
            <m:t>×</m:t>
          </m:r>
          <m:r>
            <m:t>5</m:t>
          </m:r>
          <m:r>
            <m:rPr>
              <m:sty m:val="p"/>
            </m:rPr>
            <m:t>=</m:t>
          </m:r>
          <m:r>
            <m:t>0.153</m:t>
          </m:r>
          <m:r>
            <m:rPr>
              <m:sty m:val="p"/>
            </m:rPr>
            <m:t>.</m:t>
          </m:r>
          <m:r>
            <m:t> </m:t>
          </m:r>
          <m:r>
            <m:rPr>
              <m:sty m:val="p"/>
            </m:rPr>
            <m:t>(</m:t>
          </m:r>
          <m:r>
            <m:t>35</m:t>
          </m:r>
          <m:r>
            <m:rPr>
              <m:sty m:val="p"/>
            </m:rPr>
            <m:t>)</m:t>
          </m:r>
        </m:oMath>
      </m:oMathPara>
    </w:p>
    <w:p>
      <w:pPr>
        <w:pStyle w:val="FirstParagraph"/>
      </w:pPr>
      <m:oMathPara>
        <m:oMathParaPr>
          <m:jc m:val="center"/>
        </m:oMathParaPr>
        <m:oMath>
          <m:sSub>
            <m:e>
              <m:acc>
                <m:accPr>
                  <m:chr m:val="̃"/>
                </m:accPr>
                <m:e>
                  <m:r>
                    <m:t>π</m:t>
                  </m:r>
                </m:e>
              </m:acc>
            </m:e>
            <m:sub>
              <m:r>
                <m:t>1</m:t>
              </m:r>
            </m:sub>
          </m:sSub>
          <m:r>
            <m:rPr>
              <m:sty m:val="p"/>
            </m:rPr>
            <m:t>=</m:t>
          </m:r>
          <m:f>
            <m:fPr>
              <m:type m:val="bar"/>
            </m:fPr>
            <m:num>
              <m:r>
                <m:t>0.153</m:t>
              </m:r>
            </m:num>
            <m:den>
              <m:r>
                <m:t>1</m:t>
              </m:r>
              <m:r>
                <m:rPr>
                  <m:sty m:val="p"/>
                </m:rPr>
                <m:t>+</m:t>
              </m:r>
              <m:r>
                <m:t>0.153</m:t>
              </m:r>
            </m:den>
          </m:f>
          <m:r>
            <m:rPr>
              <m:sty m:val="p"/>
            </m:rPr>
            <m:t>≈</m:t>
          </m:r>
          <m:r>
            <m:t>0.133</m:t>
          </m:r>
          <m:r>
            <m:rPr>
              <m:sty m:val="p"/>
            </m:rPr>
            <m:t>.</m:t>
          </m:r>
          <m:r>
            <m:t> </m:t>
          </m:r>
          <m:r>
            <m:rPr>
              <m:sty m:val="p"/>
            </m:rPr>
            <m:t>(</m:t>
          </m:r>
          <m:r>
            <m:t>36</m:t>
          </m:r>
          <m:r>
            <m:rPr>
              <m:sty m:val="p"/>
            </m:rPr>
            <m:t>)</m:t>
          </m:r>
        </m:oMath>
      </m:oMathPara>
    </w:p>
    <w:p>
      <w:pPr>
        <w:pStyle w:val="FirstParagraph"/>
      </w:pPr>
      <w:r>
        <w:t xml:space="preserve">The perceived probability is now 13.3 per cent despite an objective estimate close to 3 per cent. Let</w:t>
      </w:r>
      <w:r>
        <w:t xml:space="preserve"> </w:t>
      </w:r>
      <m:oMath>
        <m:r>
          <m:t>L</m:t>
        </m:r>
        <m:r>
          <m:rPr>
            <m:sty m:val="p"/>
          </m:rPr>
          <m:t>=</m:t>
        </m:r>
        <m:r>
          <m:t>100</m:t>
        </m:r>
      </m:oMath>
      <w:r>
        <w:t xml:space="preserve">,</w:t>
      </w:r>
      <w:r>
        <w:t xml:space="preserve"> </w:t>
      </w:r>
      <m:oMath>
        <m:r>
          <m:t>λ</m:t>
        </m:r>
        <m:r>
          <m:rPr>
            <m:sty m:val="p"/>
          </m:rPr>
          <m:t>=</m:t>
        </m:r>
        <m:r>
          <m:t>2.5</m:t>
        </m:r>
      </m:oMath>
      <w:r>
        <w:t xml:space="preserve">, perceived policy effectiveness</w:t>
      </w:r>
      <w:r>
        <w:t xml:space="preserve"> </w:t>
      </w:r>
      <m:oMath>
        <m:r>
          <m:t>e</m:t>
        </m:r>
        <m:r>
          <m:rPr>
            <m:sty m:val="p"/>
          </m:rPr>
          <m:t>=</m:t>
        </m:r>
        <m:r>
          <m:t>0.20</m:t>
        </m:r>
      </m:oMath>
      <w:r>
        <w:t xml:space="preserve"> </w:t>
      </w:r>
      <w:r>
        <w:t xml:space="preserve">and policy cost</w:t>
      </w:r>
      <w:r>
        <w:t xml:space="preserve"> </w:t>
      </w:r>
      <m:oMath>
        <m:r>
          <m:t>c</m:t>
        </m:r>
        <m:r>
          <m:rPr>
            <m:sty m:val="p"/>
          </m:rPr>
          <m:t>=</m:t>
        </m:r>
        <m:r>
          <m:t>4</m:t>
        </m:r>
      </m:oMath>
      <w:r>
        <w:t xml:space="preserve">. The perceived benefit of controls is:</w:t>
      </w:r>
    </w:p>
    <w:p>
      <w:pPr>
        <w:pStyle w:val="BodyText"/>
      </w:pPr>
      <m:oMathPara>
        <m:oMathParaPr>
          <m:jc m:val="center"/>
        </m:oMathParaPr>
        <m:oMath>
          <m:r>
            <m:t>e</m:t>
          </m:r>
          <m:sSub>
            <m:e>
              <m:acc>
                <m:accPr>
                  <m:chr m:val="̃"/>
                </m:accPr>
                <m:e>
                  <m:r>
                    <m:t>π</m:t>
                  </m:r>
                </m:e>
              </m:acc>
            </m:e>
            <m:sub>
              <m:r>
                <m:t>1</m:t>
              </m:r>
            </m:sub>
          </m:sSub>
          <m:r>
            <m:t>λ</m:t>
          </m:r>
          <m:r>
            <m:t>L</m:t>
          </m:r>
          <m:r>
            <m:rPr>
              <m:sty m:val="p"/>
            </m:rPr>
            <m:t>=</m:t>
          </m:r>
          <m:r>
            <m:t>0.20</m:t>
          </m:r>
          <m:r>
            <m:rPr>
              <m:sty m:val="p"/>
            </m:rPr>
            <m:t>×</m:t>
          </m:r>
          <m:r>
            <m:t>0.133</m:t>
          </m:r>
          <m:r>
            <m:rPr>
              <m:sty m:val="p"/>
            </m:rPr>
            <m:t>×</m:t>
          </m:r>
          <m:r>
            <m:t>2.5</m:t>
          </m:r>
          <m:r>
            <m:rPr>
              <m:sty m:val="p"/>
            </m:rPr>
            <m:t>×</m:t>
          </m:r>
          <m:r>
            <m:t>100</m:t>
          </m:r>
          <m:r>
            <m:rPr>
              <m:sty m:val="p"/>
            </m:rPr>
            <m:t>=</m:t>
          </m:r>
          <m:r>
            <m:t>6.65</m:t>
          </m:r>
          <m:r>
            <m:rPr>
              <m:sty m:val="p"/>
            </m:rPr>
            <m:t>.</m:t>
          </m:r>
          <m:r>
            <m:t> </m:t>
          </m:r>
          <m:r>
            <m:rPr>
              <m:sty m:val="p"/>
            </m:rPr>
            <m:t>(</m:t>
          </m:r>
          <m:r>
            <m:t>37</m:t>
          </m:r>
          <m:r>
            <m:rPr>
              <m:sty m:val="p"/>
            </m:rPr>
            <m:t>)</m:t>
          </m:r>
        </m:oMath>
      </m:oMathPara>
    </w:p>
    <w:p>
      <w:pPr>
        <w:pStyle w:val="FirstParagraph"/>
      </w:pPr>
      <w:r>
        <w:t xml:space="preserve">Because</w:t>
      </w:r>
      <w:r>
        <w:t xml:space="preserve"> </w:t>
      </w:r>
      <m:oMath>
        <m:r>
          <m:t>6.65</m:t>
        </m:r>
        <m:r>
          <m:rPr>
            <m:sty m:val="p"/>
          </m:rPr>
          <m:t>&gt;</m:t>
        </m:r>
        <m:r>
          <m:t>4</m:t>
        </m:r>
      </m:oMath>
      <w:r>
        <w:t xml:space="preserve">, the voter supports controls. Under the objective posterior:</w:t>
      </w:r>
    </w:p>
    <w:p>
      <w:pPr>
        <w:pStyle w:val="BodyText"/>
      </w:pPr>
      <m:oMathPara>
        <m:oMathParaPr>
          <m:jc m:val="center"/>
        </m:oMathParaPr>
        <m:oMath>
          <m:r>
            <m:t>e</m:t>
          </m:r>
          <m:sSub>
            <m:e>
              <m:r>
                <m:t>π</m:t>
              </m:r>
            </m:e>
            <m:sub>
              <m:r>
                <m:t>1</m:t>
              </m:r>
            </m:sub>
          </m:sSub>
          <m:r>
            <m:t>λ</m:t>
          </m:r>
          <m:r>
            <m:t>L</m:t>
          </m:r>
          <m:r>
            <m:rPr>
              <m:sty m:val="p"/>
            </m:rPr>
            <m:t>=</m:t>
          </m:r>
          <m:r>
            <m:t>0.20</m:t>
          </m:r>
          <m:r>
            <m:rPr>
              <m:sty m:val="p"/>
            </m:rPr>
            <m:t>×</m:t>
          </m:r>
          <m:r>
            <m:t>0.0297</m:t>
          </m:r>
          <m:r>
            <m:rPr>
              <m:sty m:val="p"/>
            </m:rPr>
            <m:t>×</m:t>
          </m:r>
          <m:r>
            <m:t>2.5</m:t>
          </m:r>
          <m:r>
            <m:rPr>
              <m:sty m:val="p"/>
            </m:rPr>
            <m:t>×</m:t>
          </m:r>
          <m:r>
            <m:t>100</m:t>
          </m:r>
          <m:r>
            <m:rPr>
              <m:sty m:val="p"/>
            </m:rPr>
            <m:t>=</m:t>
          </m:r>
          <m:r>
            <m:t>1.485</m:t>
          </m:r>
          <m:r>
            <m:rPr>
              <m:sty m:val="p"/>
            </m:rPr>
            <m:t>&lt;</m:t>
          </m:r>
          <m:r>
            <m:t>4</m:t>
          </m:r>
          <m:r>
            <m:rPr>
              <m:sty m:val="p"/>
            </m:rPr>
            <m:t>.</m:t>
          </m:r>
          <m:r>
            <m:t> </m:t>
          </m:r>
          <m:r>
            <m:rPr>
              <m:sty m:val="p"/>
            </m:rPr>
            <m:t>(</m:t>
          </m:r>
          <m:r>
            <m:t>38</m:t>
          </m:r>
          <m:r>
            <m:rPr>
              <m:sty m:val="p"/>
            </m:rPr>
            <m:t>)</m:t>
          </m:r>
        </m:oMath>
      </m:oMathPara>
    </w:p>
    <w:p>
      <w:pPr>
        <w:pStyle w:val="FirstParagraph"/>
      </w:pPr>
      <w:r>
        <w:t xml:space="preserve">The same voter rejects the policy under data-calibrated beliefs and accepts it under salient beliefs. The strategic territory is the wedge</w:t>
      </w:r>
      <w:r>
        <w:t xml:space="preserve"> </w:t>
      </w:r>
      <m:oMath>
        <m:sSub>
          <m:e>
            <m:acc>
              <m:accPr>
                <m:chr m:val="̃"/>
              </m:accPr>
              <m:e>
                <m:r>
                  <m:t>π</m:t>
                </m:r>
              </m:e>
            </m:acc>
          </m:e>
          <m:sub>
            <m:r>
              <m:t>1</m:t>
            </m:r>
          </m:sub>
        </m:sSub>
        <m:r>
          <m:rPr>
            <m:sty m:val="p"/>
          </m:rPr>
          <m:t>−</m:t>
        </m:r>
        <m:sSub>
          <m:e>
            <m:r>
              <m:t>π</m:t>
            </m:r>
          </m:e>
          <m:sub>
            <m:r>
              <m:t>1</m:t>
            </m:r>
          </m:sub>
        </m:sSub>
      </m:oMath>
      <w:r>
        <w:t xml:space="preserve">.</w:t>
      </w:r>
    </w:p>
    <w:p>
      <w:pPr>
        <w:pStyle w:val="BodyText"/>
      </w:pPr>
      <w:r>
        <w:t xml:space="preserve">To connect the example to vote share, suppose</w:t>
      </w:r>
      <w:r>
        <w:t xml:space="preserve"> </w:t>
      </w:r>
      <m:oMath>
        <m:r>
          <m:t>f</m:t>
        </m:r>
        <m:r>
          <m:rPr>
            <m:sty m:val="p"/>
          </m:rPr>
          <m:t>(</m:t>
        </m:r>
        <m:sSup>
          <m:e>
            <m:r>
              <m:t>b</m:t>
            </m:r>
          </m:e>
          <m:sup>
            <m:r>
              <m:rPr>
                <m:sty m:val="p"/>
              </m:rPr>
              <m:t>*</m:t>
            </m:r>
          </m:sup>
        </m:sSup>
        <m:r>
          <m:rPr>
            <m:sty m:val="p"/>
          </m:rPr>
          <m:t>)</m:t>
        </m:r>
        <m:r>
          <m:rPr>
            <m:sty m:val="p"/>
          </m:rPr>
          <m:t>=</m:t>
        </m:r>
        <m:r>
          <m:t>0.9</m:t>
        </m:r>
      </m:oMath>
      <w:r>
        <w:t xml:space="preserve">,</w:t>
      </w:r>
      <w:r>
        <w:t xml:space="preserve"> </w:t>
      </w:r>
      <m:oMath>
        <m:sSub>
          <m:e>
            <m:r>
              <m:t>λ</m:t>
            </m:r>
          </m:e>
          <m:sub>
            <m:r>
              <m:t>m</m:t>
            </m:r>
          </m:sub>
        </m:sSub>
        <m:r>
          <m:rPr>
            <m:sty m:val="p"/>
          </m:rPr>
          <m:t>=</m:t>
        </m:r>
        <m:r>
          <m:t>0.35</m:t>
        </m:r>
      </m:oMath>
      <w:r>
        <w:t xml:space="preserve"> </w:t>
      </w:r>
      <w:r>
        <w:t xml:space="preserve">and</w:t>
      </w:r>
      <w:r>
        <w:t xml:space="preserve"> </w:t>
      </w:r>
      <m:oMath>
        <m:r>
          <m:rPr>
            <m:sty m:val="p"/>
          </m:rPr>
          <m:t>Δ</m:t>
        </m:r>
        <m:sSub>
          <m:e>
            <m:r>
              <m:t>u</m:t>
            </m:r>
          </m:e>
          <m:sub>
            <m:sSup>
              <m:e>
                <m:r>
                  <m:t>m</m:t>
                </m:r>
              </m:e>
              <m:sup>
                <m:r>
                  <m:rPr>
                    <m:sty m:val="p"/>
                  </m:rPr>
                  <m:t>′</m:t>
                </m:r>
              </m:sup>
            </m:sSup>
          </m:sub>
        </m:sSub>
        <m:r>
          <m:rPr>
            <m:sty m:val="p"/>
          </m:rPr>
          <m:t>(</m:t>
        </m:r>
        <m:sSub>
          <m:e>
            <m:acc>
              <m:accPr>
                <m:chr m:val="̃"/>
              </m:accPr>
              <m:e>
                <m:r>
                  <m:t>π</m:t>
                </m:r>
              </m:e>
            </m:acc>
          </m:e>
          <m:sub>
            <m:r>
              <m:t>1</m:t>
            </m:r>
          </m:sub>
        </m:sSub>
        <m:r>
          <m:rPr>
            <m:sty m:val="p"/>
          </m:rPr>
          <m:t>)</m:t>
        </m:r>
        <m:r>
          <m:rPr>
            <m:sty m:val="p"/>
          </m:rPr>
          <m:t>=</m:t>
        </m:r>
        <m:r>
          <m:t>1.2</m:t>
        </m:r>
      </m:oMath>
      <w:r>
        <w:t xml:space="preserve">. A ten-point increase in perceived risk produces approximately:</w:t>
      </w:r>
    </w:p>
    <w:p>
      <w:pPr>
        <w:pStyle w:val="BodyText"/>
      </w:pPr>
      <m:oMathPara>
        <m:oMathParaPr>
          <m:jc m:val="center"/>
        </m:oMathParaPr>
        <m:oMath>
          <m:r>
            <m:rPr>
              <m:sty m:val="p"/>
            </m:rPr>
            <m:t>Δ</m:t>
          </m:r>
          <m:sSub>
            <m:e>
              <m:r>
                <m:t>V</m:t>
              </m:r>
            </m:e>
            <m:sub>
              <m:r>
                <m:t>M</m:t>
              </m:r>
            </m:sub>
          </m:sSub>
          <m:r>
            <m:rPr>
              <m:sty m:val="p"/>
            </m:rPr>
            <m:t>≈</m:t>
          </m:r>
          <m:r>
            <m:t>f</m:t>
          </m:r>
          <m:r>
            <m:rPr>
              <m:sty m:val="p"/>
            </m:rPr>
            <m:t>(</m:t>
          </m:r>
          <m:sSup>
            <m:e>
              <m:r>
                <m:t>b</m:t>
              </m:r>
            </m:e>
            <m:sup>
              <m:r>
                <m:rPr>
                  <m:sty m:val="p"/>
                </m:rPr>
                <m:t>*</m:t>
              </m:r>
            </m:sup>
          </m:sSup>
          <m:r>
            <m:rPr>
              <m:sty m:val="p"/>
            </m:rPr>
            <m:t>)</m:t>
          </m:r>
          <m:sSub>
            <m:e>
              <m:r>
                <m:t>λ</m:t>
              </m:r>
            </m:e>
            <m:sub>
              <m:r>
                <m:t>m</m:t>
              </m:r>
            </m:sub>
          </m:sSub>
          <m:r>
            <m:rPr>
              <m:sty m:val="p"/>
            </m:rPr>
            <m:t>Δ</m:t>
          </m:r>
          <m:sSub>
            <m:e>
              <m:r>
                <m:t>u</m:t>
              </m:r>
            </m:e>
            <m:sub>
              <m:sSup>
                <m:e>
                  <m:r>
                    <m:t>m</m:t>
                  </m:r>
                </m:e>
                <m:sup>
                  <m:r>
                    <m:rPr>
                      <m:sty m:val="p"/>
                    </m:rPr>
                    <m:t>′</m:t>
                  </m:r>
                </m:sup>
              </m:sSup>
            </m:sub>
          </m:sSub>
          <m:r>
            <m:rPr>
              <m:sty m:val="p"/>
            </m:rPr>
            <m:t>Δ</m:t>
          </m:r>
          <m:sSub>
            <m:e>
              <m:acc>
                <m:accPr>
                  <m:chr m:val="̃"/>
                </m:accPr>
                <m:e>
                  <m:r>
                    <m:t>π</m:t>
                  </m:r>
                </m:e>
              </m:acc>
            </m:e>
            <m:sub>
              <m:r>
                <m:t>1</m:t>
              </m:r>
            </m:sub>
          </m:sSub>
          <m:r>
            <m:rPr>
              <m:sty m:val="p"/>
            </m:rPr>
            <m:t>=</m:t>
          </m:r>
          <m:r>
            <m:t>0.9</m:t>
          </m:r>
          <m:r>
            <m:rPr>
              <m:sty m:val="p"/>
            </m:rPr>
            <m:t>×</m:t>
          </m:r>
          <m:r>
            <m:t>0.35</m:t>
          </m:r>
          <m:r>
            <m:rPr>
              <m:sty m:val="p"/>
            </m:rPr>
            <m:t>×</m:t>
          </m:r>
          <m:r>
            <m:t>1.2</m:t>
          </m:r>
          <m:r>
            <m:rPr>
              <m:sty m:val="p"/>
            </m:rPr>
            <m:t>×</m:t>
          </m:r>
          <m:r>
            <m:t>0.10</m:t>
          </m:r>
          <m:r>
            <m:rPr>
              <m:sty m:val="p"/>
            </m:rPr>
            <m:t>=</m:t>
          </m:r>
          <m:r>
            <m:t>0.0378</m:t>
          </m:r>
          <m:r>
            <m:rPr>
              <m:sty m:val="p"/>
            </m:rPr>
            <m:t>.</m:t>
          </m:r>
          <m:r>
            <m:t> </m:t>
          </m:r>
          <m:r>
            <m:rPr>
              <m:sty m:val="p"/>
            </m:rPr>
            <m:t>(</m:t>
          </m:r>
          <m:r>
            <m:t>39</m:t>
          </m:r>
          <m:r>
            <m:rPr>
              <m:sty m:val="p"/>
            </m:rPr>
            <m:t>)</m:t>
          </m:r>
        </m:oMath>
      </m:oMathPara>
    </w:p>
    <w:p>
      <w:pPr>
        <w:pStyle w:val="FirstParagraph"/>
      </w:pPr>
      <w:r>
        <w:t xml:space="preserve">The implied shift is 3.78 percentage points among the modelled electorate. The value is not a forecast; it demonstrates how a modest posterior movement can be electorally large when voter density near the threshold is high.</w:t>
      </w:r>
    </w:p>
    <w:bookmarkEnd w:id="32"/>
    <w:bookmarkStart w:id="37" w:name="X9185c22e84e049df85cff6c6e23ada86f5ff0d3"/>
    <w:p>
      <w:pPr>
        <w:pStyle w:val="Heading2"/>
      </w:pPr>
      <w:r>
        <w:t xml:space="preserve">13. Discussion, interpretation and limitations</w:t>
      </w:r>
    </w:p>
    <w:bookmarkStart w:id="33" w:name="what-the-model-explains"/>
    <w:p>
      <w:pPr>
        <w:pStyle w:val="Heading3"/>
      </w:pPr>
      <w:r>
        <w:t xml:space="preserve">13.1. What the model explains</w:t>
      </w:r>
    </w:p>
    <w:p>
      <w:pPr>
        <w:pStyle w:val="FirstParagraph"/>
      </w:pPr>
      <w:r>
        <w:t xml:space="preserve">First, the model explains why the statement</w:t>
      </w:r>
      <w:r>
        <w:t xml:space="preserve"> </w:t>
      </w:r>
      <w:r>
        <w:t xml:space="preserve">“S</w:t>
      </w:r>
      <w:r>
        <w:t xml:space="preserve">0E1nchez is right about the numbers”</w:t>
      </w:r>
      <w:r>
        <w:t xml:space="preserve"> </w:t>
      </w:r>
      <w:r>
        <w:t xml:space="preserve">does not settle the strategic evaluation. His statistic concerns an unconditional historical comparison. Meloni’s claim concerns a conditional future event and a comparative competence judgement. A voter can consistently accept both.</w:t>
      </w:r>
    </w:p>
    <w:p>
      <w:pPr>
        <w:pStyle w:val="BodyText"/>
      </w:pPr>
      <w:r>
        <w:t xml:space="preserve">Second, it explains why the scale of the Ceuta shock matters even if onward movement remains limited. Salience enters separately from the likelihood ratio. A locally enormous event can be globally contained and still alter beliefs, issue weights and common knowledge.</w:t>
      </w:r>
    </w:p>
    <w:p>
      <w:pPr>
        <w:pStyle w:val="BodyText"/>
      </w:pPr>
      <w:r>
        <w:t xml:space="preserve">Third, the model shows why action often dominates explanation. A border-control measure is observable, administratively concrete and costly enough to function as a commitment signal. A statistical rebuttal is cognitively expensive and strategically predictable. The former may therefore have greater belief impact even when the latter has greater factual content.</w:t>
      </w:r>
    </w:p>
    <w:p>
      <w:pPr>
        <w:pStyle w:val="BodyText"/>
      </w:pPr>
      <w:r>
        <w:t xml:space="preserve">Fourth, the model identifies reassurance as an electoral good. The voter may value not only lower risk but also the transfer of responsibility to an actor who claims control. This helps explain the appeal of preventive action under uncertainty.</w:t>
      </w:r>
    </w:p>
    <w:bookmarkEnd w:id="33"/>
    <w:bookmarkStart w:id="34" w:name="normative-non-equivalence"/>
    <w:p>
      <w:pPr>
        <w:pStyle w:val="Heading3"/>
      </w:pPr>
      <w:r>
        <w:t xml:space="preserve">13.2. Normative non-equivalence</w:t>
      </w:r>
    </w:p>
    <w:p>
      <w:pPr>
        <w:pStyle w:val="FirstParagraph"/>
      </w:pPr>
      <w:r>
        <w:t xml:space="preserve">Electoral rationality is not equivalent to social welfare. A strategy can be privately optimal for a party and collectively inefficient. Internal-border controls can impose transaction costs, legal friction, diplomatic damage and distributive burdens that are not internalised by the pivotal voter. Likewise, raising perceived risk can generate externalities for migrants, minority groups and other Member States.</w:t>
      </w:r>
    </w:p>
    <w:p>
      <w:pPr>
        <w:pStyle w:val="BodyText"/>
      </w:pPr>
      <w:r>
        <w:t xml:space="preserve">Let social welfare be</w:t>
      </w:r>
      <w:r>
        <w:t xml:space="preserve"> </w:t>
      </w:r>
      <m:oMath>
        <m:r>
          <m:t>W</m:t>
        </m:r>
      </m:oMath>
      <w:r>
        <w:t xml:space="preserve"> </w:t>
      </w:r>
      <w:r>
        <w:t xml:space="preserve">and party payoff be</w:t>
      </w:r>
      <w:r>
        <w:t xml:space="preserve"> </w:t>
      </w:r>
      <m:oMath>
        <m:sSub>
          <m:e>
            <m:r>
              <m:t>E</m:t>
            </m:r>
          </m:e>
          <m:sub>
            <m:r>
              <m:t>M</m:t>
            </m:r>
          </m:sub>
        </m:sSub>
      </m:oMath>
      <w:r>
        <w:t xml:space="preserve">. There is no reason to assume:</w:t>
      </w:r>
    </w:p>
    <w:p>
      <w:pPr>
        <w:pStyle w:val="BodyText"/>
      </w:pPr>
      <m:oMathPara>
        <m:oMathParaPr>
          <m:jc m:val="center"/>
        </m:oMathParaPr>
        <m:oMath>
          <m:r>
            <m:rPr>
              <m:sty m:val="p"/>
            </m:rPr>
            <m:t>arg</m:t>
          </m:r>
          <m:limLow>
            <m:e>
              <m:r>
                <m:rPr>
                  <m:sty m:val="p"/>
                </m:rPr>
                <m:t>max</m:t>
              </m:r>
            </m:e>
            <m:lim>
              <m:r>
                <m:t>a</m:t>
              </m:r>
            </m:lim>
          </m:limLow>
          <m:sSub>
            <m:e>
              <m:r>
                <m:t>E</m:t>
              </m:r>
            </m:e>
            <m:sub>
              <m:r>
                <m:t>M</m:t>
              </m:r>
            </m:sub>
          </m:sSub>
          <m:r>
            <m:rPr>
              <m:sty m:val="p"/>
            </m:rPr>
            <m:t>(</m:t>
          </m:r>
          <m:r>
            <m:t>a</m:t>
          </m:r>
          <m:r>
            <m:rPr>
              <m:sty m:val="p"/>
            </m:rPr>
            <m:t>)</m:t>
          </m:r>
          <m:r>
            <m:rPr>
              <m:sty m:val="p"/>
            </m:rPr>
            <m:t>=</m:t>
          </m:r>
          <m:r>
            <m:rPr>
              <m:sty m:val="p"/>
            </m:rPr>
            <m:t>arg</m:t>
          </m:r>
          <m:limLow>
            <m:e>
              <m:r>
                <m:rPr>
                  <m:sty m:val="p"/>
                </m:rPr>
                <m:t>max</m:t>
              </m:r>
            </m:e>
            <m:lim>
              <m:r>
                <m:t>a</m:t>
              </m:r>
            </m:lim>
          </m:limLow>
          <m:r>
            <m:t>W</m:t>
          </m:r>
          <m:r>
            <m:rPr>
              <m:sty m:val="p"/>
            </m:rPr>
            <m:t>(</m:t>
          </m:r>
          <m:r>
            <m:t>a</m:t>
          </m:r>
          <m:r>
            <m:rPr>
              <m:sty m:val="p"/>
            </m:rPr>
            <m:t>)</m:t>
          </m:r>
          <m:r>
            <m:rPr>
              <m:sty m:val="p"/>
            </m:rPr>
            <m:t>.</m:t>
          </m:r>
          <m:r>
            <m:t> </m:t>
          </m:r>
          <m:r>
            <m:rPr>
              <m:sty m:val="p"/>
            </m:rPr>
            <m:t>(</m:t>
          </m:r>
          <m:r>
            <m:t>40</m:t>
          </m:r>
          <m:r>
            <m:rPr>
              <m:sty m:val="p"/>
            </m:rPr>
            <m:t>)</m:t>
          </m:r>
        </m:oMath>
      </m:oMathPara>
    </w:p>
    <w:p>
      <w:pPr>
        <w:pStyle w:val="FirstParagraph"/>
      </w:pPr>
      <w:r>
        <w:t xml:space="preserve">The model therefore predicts strategic success, not policy desirability. A full welfare analysis would require humanitarian outcomes, enforcement costs, Schengen spillovers, legal constraints and the probability that restrictive signalling induces copycat measures.</w:t>
      </w:r>
    </w:p>
    <w:bookmarkEnd w:id="34"/>
    <w:bookmarkStart w:id="35" w:name="empirical-limitations"/>
    <w:p>
      <w:pPr>
        <w:pStyle w:val="Heading3"/>
      </w:pPr>
      <w:r>
        <w:t xml:space="preserve">13.3. Empirical limitations</w:t>
      </w:r>
    </w:p>
    <w:p>
      <w:pPr>
        <w:pStyle w:val="FirstParagraph"/>
      </w:pPr>
      <w:r>
        <w:t xml:space="preserve">The paper uses a stylised binary state, whereas migration movements are continuous, networked and path dependent. It treats the pivotal voter as a reduced-form agent and does not estimate heterogeneous responses by ideology, geography, age or prior attitudes.</w:t>
      </w:r>
    </w:p>
    <w:p>
      <w:pPr>
        <w:pStyle w:val="BodyText"/>
      </w:pPr>
      <w:r>
        <w:t xml:space="preserve">The route-level values circulated by S</w:t>
      </w:r>
      <w:r>
        <w:t xml:space="preserve">0E1nchez are accepted as public inputs to the political game. They are not independently reconstructed from the underlying Frontex microdata. Moreover, border-crossing detections are not necessarily unique-person counts and are shaped by enforcement intensity.</w:t>
      </w:r>
    </w:p>
    <w:p>
      <w:pPr>
        <w:pStyle w:val="BodyText"/>
      </w:pPr>
      <w:r>
        <w:t xml:space="preserve">The numerical calibration is illustrative. Estimating the model would require panel survey data collected before and after the Ceuta shock, measures of media exposure, experimental variation in the presentation of base rates, and data on perceived policy effectiveness.</w:t>
      </w:r>
    </w:p>
    <w:p>
      <w:pPr>
        <w:pStyle w:val="BodyText"/>
      </w:pPr>
      <w:r>
        <w:t xml:space="preserve">Finally, the model abstracts from humanitarian ethics and international law except insofar as legal constraints enter the cost function. These dimensions are not secondary in policy evaluation; they are simply outside the paper’s positive-theory objective.</w:t>
      </w:r>
    </w:p>
    <w:bookmarkEnd w:id="35"/>
    <w:bookmarkStart w:id="36" w:name="testable-implications"/>
    <w:p>
      <w:pPr>
        <w:pStyle w:val="Heading3"/>
      </w:pPr>
      <w:r>
        <w:t xml:space="preserve">13.4. Testable implications</w:t>
      </w:r>
    </w:p>
    <w:p>
      <w:pPr>
        <w:pStyle w:val="Compact"/>
        <w:numPr>
          <w:ilvl w:val="0"/>
          <w:numId w:val="1001"/>
        </w:numPr>
      </w:pPr>
      <w:r>
        <w:rPr>
          <w:b/>
          <w:bCs/>
        </w:rPr>
        <w:t xml:space="preserve">H1.</w:t>
      </w:r>
      <w:r>
        <w:t xml:space="preserve"> </w:t>
      </w:r>
      <w:r>
        <w:t xml:space="preserve">Exposure to vivid Ceuta imagery should increase perceived onward-movement risk more than exposure to route-level historical tables, controlling for factual knowledge.</w:t>
      </w:r>
    </w:p>
    <w:p>
      <w:pPr>
        <w:pStyle w:val="Compact"/>
        <w:numPr>
          <w:ilvl w:val="0"/>
          <w:numId w:val="1001"/>
        </w:numPr>
      </w:pPr>
      <w:r>
        <w:rPr>
          <w:b/>
          <w:bCs/>
        </w:rPr>
        <w:t xml:space="preserve">H2.</w:t>
      </w:r>
      <w:r>
        <w:t xml:space="preserve"> </w:t>
      </w:r>
      <w:r>
        <w:t xml:space="preserve">The effect of imagery should be larger among voters with high loss-aversion or ambiguity-aversion scores.</w:t>
      </w:r>
    </w:p>
    <w:p>
      <w:pPr>
        <w:pStyle w:val="Compact"/>
        <w:numPr>
          <w:ilvl w:val="0"/>
          <w:numId w:val="1001"/>
        </w:numPr>
      </w:pPr>
      <w:r>
        <w:rPr>
          <w:b/>
          <w:bCs/>
        </w:rPr>
        <w:t xml:space="preserve">H3.</w:t>
      </w:r>
      <w:r>
        <w:t xml:space="preserve"> </w:t>
      </w:r>
      <w:r>
        <w:t xml:space="preserve">Announcing a concrete control should increase perceived governmental competence more than issuing an equally restrictive verbal statement.</w:t>
      </w:r>
    </w:p>
    <w:p>
      <w:pPr>
        <w:pStyle w:val="Compact"/>
        <w:numPr>
          <w:ilvl w:val="0"/>
          <w:numId w:val="1001"/>
        </w:numPr>
      </w:pPr>
      <w:r>
        <w:rPr>
          <w:b/>
          <w:bCs/>
        </w:rPr>
        <w:t xml:space="preserve">H4.</w:t>
      </w:r>
      <w:r>
        <w:t xml:space="preserve"> </w:t>
      </w:r>
      <w:r>
        <w:t xml:space="preserve">S</w:t>
      </w:r>
      <w:r>
        <w:t xml:space="preserve">0E1nchez’s base-rate correction should reduce perceived risk more among high-numeracy and high-attention voters than among the general electorate.</w:t>
      </w:r>
    </w:p>
    <w:p>
      <w:pPr>
        <w:pStyle w:val="Compact"/>
        <w:numPr>
          <w:ilvl w:val="0"/>
          <w:numId w:val="1001"/>
        </w:numPr>
      </w:pPr>
      <w:r>
        <w:rPr>
          <w:b/>
          <w:bCs/>
        </w:rPr>
        <w:t xml:space="preserve">H5.</w:t>
      </w:r>
      <w:r>
        <w:t xml:space="preserve"> </w:t>
      </w:r>
      <w:r>
        <w:t xml:space="preserve">The electoral effect should be concentrated among voters close to indifference and among voters who already attribute migration-issue ownership to Meloni’s coalition.</w:t>
      </w:r>
    </w:p>
    <w:p>
      <w:pPr>
        <w:pStyle w:val="Compact"/>
        <w:numPr>
          <w:ilvl w:val="0"/>
          <w:numId w:val="1001"/>
        </w:numPr>
      </w:pPr>
      <w:r>
        <w:rPr>
          <w:b/>
          <w:bCs/>
        </w:rPr>
        <w:t xml:space="preserve">H6.</w:t>
      </w:r>
      <w:r>
        <w:t xml:space="preserve"> </w:t>
      </w:r>
      <w:r>
        <w:t xml:space="preserve">Multilateral reactions by other governments should amplify the effect by increasing common knowledge, even if those reactions are explicitly precautionary rather than accusatory.</w:t>
      </w:r>
    </w:p>
    <w:bookmarkEnd w:id="36"/>
    <w:bookmarkEnd w:id="37"/>
    <w:bookmarkStart w:id="38" w:name="conclusion"/>
    <w:p>
      <w:pPr>
        <w:pStyle w:val="Heading2"/>
      </w:pPr>
      <w:r>
        <w:t xml:space="preserve">14. Conclusion</w:t>
      </w:r>
    </w:p>
    <w:p>
      <w:pPr>
        <w:pStyle w:val="FirstParagraph"/>
      </w:pPr>
      <w:r>
        <w:t xml:space="preserve">The Ceuta controversy is best understood as a contest over the architecture of choice. S</w:t>
      </w:r>
      <w:r>
        <w:t xml:space="preserve">0E1nchez sought to correct the common prior by showing that Italy had historically registered more irregular-entry detections than Spain. Meloni changed the information structure, raised the salience of a new risk, signalled willingness to act and moved the decision onto an issue dimension favourable to her coalition.</w:t>
      </w:r>
    </w:p>
    <w:p>
      <w:pPr>
        <w:pStyle w:val="BodyText"/>
      </w:pPr>
      <w:r>
        <w:t xml:space="preserve">The difference can be summarised by two conditional claims:</w:t>
      </w:r>
    </w:p>
    <w:p>
      <w:pPr>
        <w:pStyle w:val="BodyText"/>
      </w:pPr>
      <m:oMathPara>
        <m:oMathParaPr>
          <m:jc m:val="center"/>
        </m:oMathParaPr>
        <m:oMath>
          <m:r>
            <m:rPr>
              <m:nor/>
              <m:sty m:val="p"/>
            </m:rPr>
            <m:t>S00E1nchez: </m:t>
          </m:r>
          <m:sSub>
            <m:e>
              <m:r>
                <m:t>M</m:t>
              </m:r>
            </m:e>
            <m:sub>
              <m:r>
                <m:t>I</m:t>
              </m:r>
            </m:sub>
          </m:sSub>
          <m:r>
            <m:rPr>
              <m:sty m:val="p"/>
            </m:rPr>
            <m:t>&gt;</m:t>
          </m:r>
          <m:sSub>
            <m:e>
              <m:r>
                <m:t>M</m:t>
              </m:r>
            </m:e>
            <m:sub>
              <m:r>
                <m:t>S</m:t>
              </m:r>
            </m:sub>
          </m:sSub>
          <m:r>
            <m:rPr>
              <m:sty m:val="p"/>
            </m:rPr>
            <m:t>.</m:t>
          </m:r>
          <m:r>
            <m:t> </m:t>
          </m:r>
          <m:r>
            <m:rPr>
              <m:sty m:val="p"/>
            </m:rPr>
            <m:t>(</m:t>
          </m:r>
          <m:r>
            <m:t>41</m:t>
          </m:r>
          <m:r>
            <m:rPr>
              <m:sty m:val="p"/>
            </m:rPr>
            <m:t>)</m:t>
          </m:r>
        </m:oMath>
      </m:oMathPara>
    </w:p>
    <w:p>
      <w:pPr>
        <w:pStyle w:val="FirstParagraph"/>
      </w:pPr>
      <m:oMathPara>
        <m:oMathParaPr>
          <m:jc m:val="center"/>
        </m:oMathParaPr>
        <m:oMath>
          <m:r>
            <m:rPr>
              <m:nor/>
              <m:sty m:val="p"/>
            </m:rPr>
            <m:t>Meloni: </m:t>
          </m:r>
          <m:r>
            <m:rPr>
              <m:sty m:val="p"/>
            </m:rPr>
            <m:t>Pr</m:t>
          </m:r>
          <m:r>
            <m:rPr>
              <m:sty m:val="p"/>
            </m:rPr>
            <m:t>(</m:t>
          </m:r>
          <m:r>
            <m:t>L</m:t>
          </m:r>
          <m:r>
            <m:rPr>
              <m:sty m:val="p"/>
            </m:rPr>
            <m:t>∣</m:t>
          </m:r>
          <m:r>
            <m:t>M</m:t>
          </m:r>
          <m:r>
            <m:rPr>
              <m:sty m:val="p"/>
            </m:rPr>
            <m:t>)</m:t>
          </m:r>
          <m:r>
            <m:rPr>
              <m:sty m:val="p"/>
            </m:rPr>
            <m:t>&lt;</m:t>
          </m:r>
          <m:r>
            <m:rPr>
              <m:sty m:val="p"/>
            </m:rPr>
            <m:t>Pr</m:t>
          </m:r>
          <m:r>
            <m:rPr>
              <m:sty m:val="p"/>
            </m:rPr>
            <m:t>(</m:t>
          </m:r>
          <m:r>
            <m:t>L</m:t>
          </m:r>
          <m:r>
            <m:rPr>
              <m:sty m:val="p"/>
            </m:rPr>
            <m:t>∣</m:t>
          </m:r>
          <m:r>
            <m:t>O</m:t>
          </m:r>
          <m:r>
            <m:rPr>
              <m:sty m:val="p"/>
            </m:rPr>
            <m:t>)</m:t>
          </m:r>
          <m:r>
            <m:rPr>
              <m:sty m:val="p"/>
            </m:rPr>
            <m:t>.</m:t>
          </m:r>
          <m:r>
            <m:t> </m:t>
          </m:r>
          <m:r>
            <m:rPr>
              <m:sty m:val="p"/>
            </m:rPr>
            <m:t>(</m:t>
          </m:r>
          <m:r>
            <m:t>42</m:t>
          </m:r>
          <m:r>
            <m:rPr>
              <m:sty m:val="p"/>
            </m:rPr>
            <m:t>)</m:t>
          </m:r>
        </m:oMath>
      </m:oMathPara>
    </w:p>
    <w:p>
      <w:pPr>
        <w:pStyle w:val="FirstParagraph"/>
      </w:pPr>
      <w:r>
        <w:t xml:space="preserve">The first is a historical descriptive comparison. The second is a prospective competence claim. Demonstrating the first does not logically refute the second in the voter’s utility function.</w:t>
      </w:r>
    </w:p>
    <w:p>
      <w:pPr>
        <w:pStyle w:val="BodyText"/>
      </w:pPr>
      <w:r>
        <w:t xml:space="preserve">The formal results show that a low-probability external event can generate a positive electoral payoff when salience, costly signalling, ambiguity aversion, responsibility transfer and threshold-voter density are sufficiently strong. The political actor who controls these variables can win even while conceding the opponent’s base rate.</w:t>
      </w:r>
    </w:p>
    <w:p>
      <w:pPr>
        <w:pStyle w:val="BodyText"/>
      </w:pPr>
      <w:r>
        <w:t xml:space="preserve">In Bayesian terms, S</w:t>
      </w:r>
      <w:r>
        <w:t xml:space="preserve">0E1nchez optimises the accuracy of the posterior. Meloni influences the prior, the likelihood weighting, the public signal, the action cost, the issue coefficient and the electoral threshold. She does not merely play the game more aggressively. She changes the game being played.</w:t>
      </w:r>
    </w:p>
    <w:p>
      <w:pPr>
        <w:pStyle w:val="BodyText"/>
      </w:pPr>
      <w:r>
        <w:t xml:space="preserve">That is the central analytical lesson: one may be right about the world and still lose the equilibrium.</w:t>
      </w:r>
    </w:p>
    <w:bookmarkEnd w:id="38"/>
    <w:bookmarkStart w:id="43" w:name="appendix-a.-proofs-and-extensions"/>
    <w:p>
      <w:pPr>
        <w:pStyle w:val="Heading2"/>
      </w:pPr>
      <w:r>
        <w:t xml:space="preserve">Appendix A. Proofs and extensions</w:t>
      </w:r>
    </w:p>
    <w:bookmarkStart w:id="39" w:name="X09a66bbf43a02c6f69b2d11ce49e9faf86de401"/>
    <w:p>
      <w:pPr>
        <w:pStyle w:val="Heading3"/>
      </w:pPr>
      <w:r>
        <w:t xml:space="preserve">A.1. Comparative statics of the perceived posterior</w:t>
      </w:r>
    </w:p>
    <w:p>
      <w:pPr>
        <w:pStyle w:val="FirstParagraph"/>
      </w:pPr>
      <w:r>
        <w:t xml:space="preserve">Let</w:t>
      </w:r>
      <w:r>
        <w:t xml:space="preserve"> </w:t>
      </w:r>
      <m:oMath>
        <m:r>
          <m:t>z</m:t>
        </m:r>
        <m:r>
          <m:rPr>
            <m:sty m:val="p"/>
          </m:rPr>
          <m:t>=</m:t>
        </m:r>
        <m:r>
          <m:rPr>
            <m:sty m:val="p"/>
          </m:rPr>
          <m:t>logit</m:t>
        </m:r>
        <m:r>
          <m:rPr>
            <m:sty m:val="p"/>
          </m:rPr>
          <m:t>(</m:t>
        </m:r>
        <m:sSub>
          <m:e>
            <m:r>
              <m:t>π</m:t>
            </m:r>
          </m:e>
          <m:sub>
            <m:r>
              <m:t>0</m:t>
            </m:r>
          </m:sub>
        </m:sSub>
        <m:r>
          <m:rPr>
            <m:sty m:val="p"/>
          </m:rPr>
          <m:t>)</m:t>
        </m:r>
        <m:r>
          <m:rPr>
            <m:sty m:val="p"/>
          </m:rPr>
          <m:t>+</m:t>
        </m:r>
        <m:r>
          <m:rPr>
            <m:sty m:val="p"/>
          </m:rPr>
          <m:t>ln</m:t>
        </m:r>
        <m:r>
          <m:rPr>
            <m:sty m:val="p"/>
          </m:rPr>
          <m:t>Λ</m:t>
        </m:r>
        <m:r>
          <m:rPr>
            <m:sty m:val="p"/>
          </m:rPr>
          <m:t>+</m:t>
        </m:r>
        <m:r>
          <m:t>α</m:t>
        </m:r>
        <m:sSub>
          <m:e>
            <m:r>
              <m:t>s</m:t>
            </m:r>
          </m:e>
          <m:sub>
            <m:r>
              <m:t>C</m:t>
            </m:r>
          </m:sub>
        </m:sSub>
        <m:r>
          <m:rPr>
            <m:sty m:val="p"/>
          </m:rPr>
          <m:t>+</m:t>
        </m:r>
        <m:r>
          <m:t>β</m:t>
        </m:r>
        <m:r>
          <m:t>a</m:t>
        </m:r>
        <m:r>
          <m:rPr>
            <m:sty m:val="p"/>
          </m:rPr>
          <m:t>+</m:t>
        </m:r>
        <m:r>
          <m:t>φ</m:t>
        </m:r>
        <m:r>
          <m:t>K</m:t>
        </m:r>
        <m:r>
          <m:rPr>
            <m:sty m:val="p"/>
          </m:rPr>
          <m:t>−</m:t>
        </m:r>
        <m:r>
          <m:t>γ</m:t>
        </m:r>
        <m:r>
          <m:t>D</m:t>
        </m:r>
      </m:oMath>
      <w:r>
        <w:t xml:space="preserve">. Since</w:t>
      </w:r>
      <w:r>
        <w:t xml:space="preserve"> </w:t>
      </w:r>
      <m:oMath>
        <m:sSub>
          <m:e>
            <m:acc>
              <m:accPr>
                <m:chr m:val="̃"/>
              </m:accPr>
              <m:e>
                <m:r>
                  <m:t>π</m:t>
                </m:r>
              </m:e>
            </m:acc>
          </m:e>
          <m:sub>
            <m:r>
              <m:t>1</m:t>
            </m:r>
          </m:sub>
        </m:sSub>
        <m:r>
          <m:rPr>
            <m:sty m:val="p"/>
          </m:rPr>
          <m:t>=</m:t>
        </m:r>
        <m:r>
          <m:t>1</m:t>
        </m:r>
        <m:r>
          <m:rPr>
            <m:sty m:val="p"/>
          </m:rPr>
          <m:t>/</m:t>
        </m:r>
        <m:r>
          <m:rPr>
            <m:sty m:val="p"/>
          </m:rPr>
          <m:t>(</m:t>
        </m:r>
        <m:r>
          <m:t>1</m:t>
        </m:r>
        <m:r>
          <m:rPr>
            <m:sty m:val="p"/>
          </m:rPr>
          <m:t>+</m:t>
        </m:r>
        <m:sSup>
          <m:e>
            <m:r>
              <m:t>e</m:t>
            </m:r>
          </m:e>
          <m:sup>
            <m:r>
              <m:rPr>
                <m:sty m:val="p"/>
              </m:rPr>
              <m:t>−</m:t>
            </m:r>
            <m:r>
              <m:t>z</m:t>
            </m:r>
          </m:sup>
        </m:sSup>
        <m:r>
          <m:rPr>
            <m:sty m:val="p"/>
          </m:rPr>
          <m:t>)</m:t>
        </m:r>
      </m:oMath>
      <w:r>
        <w:t xml:space="preserve">, the derivative with respect to any additive parameter</w:t>
      </w:r>
      <w:r>
        <w:t xml:space="preserve"> </w:t>
      </w:r>
      <m:oMath>
        <m:r>
          <m:t>x</m:t>
        </m:r>
      </m:oMath>
      <w:r>
        <w:t xml:space="preserve"> </w:t>
      </w:r>
      <w:r>
        <w:t xml:space="preserve">is:</w:t>
      </w:r>
    </w:p>
    <w:p>
      <w:pPr>
        <w:pStyle w:val="BodyText"/>
      </w:pPr>
      <m:oMathPara>
        <m:oMathParaPr>
          <m:jc m:val="center"/>
        </m:oMathParaPr>
        <m:oMath>
          <m:f>
            <m:fPr>
              <m:type m:val="bar"/>
            </m:fPr>
            <m:num>
              <m:r>
                <m:rPr>
                  <m:sty m:val="p"/>
                </m:rPr>
                <m:t>∂</m:t>
              </m:r>
              <m:sSub>
                <m:e>
                  <m:acc>
                    <m:accPr>
                      <m:chr m:val="̃"/>
                    </m:accPr>
                    <m:e>
                      <m:r>
                        <m:t>π</m:t>
                      </m:r>
                    </m:e>
                  </m:acc>
                </m:e>
                <m:sub>
                  <m:r>
                    <m:t>1</m:t>
                  </m:r>
                </m:sub>
              </m:sSub>
            </m:num>
            <m:den>
              <m:r>
                <m:rPr>
                  <m:sty m:val="p"/>
                </m:rPr>
                <m:t>∂</m:t>
              </m:r>
              <m:r>
                <m:t>x</m:t>
              </m:r>
            </m:den>
          </m:f>
          <m:r>
            <m:rPr>
              <m:sty m:val="p"/>
            </m:rPr>
            <m:t>=</m:t>
          </m:r>
          <m:sSub>
            <m:e>
              <m:acc>
                <m:accPr>
                  <m:chr m:val="̃"/>
                </m:accPr>
                <m:e>
                  <m:r>
                    <m:t>π</m:t>
                  </m:r>
                </m:e>
              </m:acc>
            </m:e>
            <m:sub>
              <m:r>
                <m:t>1</m:t>
              </m:r>
            </m:sub>
          </m:sSub>
          <m:r>
            <m:rPr>
              <m:sty m:val="p"/>
            </m:rPr>
            <m:t>(</m:t>
          </m:r>
          <m:r>
            <m:t>1</m:t>
          </m:r>
          <m:r>
            <m:rPr>
              <m:sty m:val="p"/>
            </m:rPr>
            <m:t>−</m:t>
          </m:r>
          <m:sSub>
            <m:e>
              <m:acc>
                <m:accPr>
                  <m:chr m:val="̃"/>
                </m:accPr>
                <m:e>
                  <m:r>
                    <m:t>π</m:t>
                  </m:r>
                </m:e>
              </m:acc>
            </m:e>
            <m:sub>
              <m:r>
                <m:t>1</m:t>
              </m:r>
            </m:sub>
          </m:sSub>
          <m:r>
            <m:rPr>
              <m:sty m:val="p"/>
            </m:rPr>
            <m:t>)</m:t>
          </m:r>
          <m:f>
            <m:fPr>
              <m:type m:val="bar"/>
            </m:fPr>
            <m:num>
              <m:r>
                <m:rPr>
                  <m:sty m:val="p"/>
                </m:rPr>
                <m:t>∂</m:t>
              </m:r>
              <m:r>
                <m:t>z</m:t>
              </m:r>
            </m:num>
            <m:den>
              <m:r>
                <m:rPr>
                  <m:sty m:val="p"/>
                </m:rPr>
                <m:t>∂</m:t>
              </m:r>
              <m:r>
                <m:t>x</m:t>
              </m:r>
            </m:den>
          </m:f>
          <m:r>
            <m:rPr>
              <m:sty m:val="p"/>
            </m:rPr>
            <m:t>.</m:t>
          </m:r>
          <m:r>
            <m:t> </m:t>
          </m:r>
          <m:r>
            <m:rPr>
              <m:sty m:val="p"/>
            </m:rPr>
            <m:t>(</m:t>
          </m:r>
          <m:r>
            <m:t>43</m:t>
          </m:r>
          <m:r>
            <m:rPr>
              <m:sty m:val="p"/>
            </m:rPr>
            <m:t>)</m:t>
          </m:r>
        </m:oMath>
      </m:oMathPara>
    </w:p>
    <w:p>
      <w:pPr>
        <w:pStyle w:val="FirstParagraph"/>
      </w:pPr>
      <m:oMathPara>
        <m:oMathParaPr>
          <m:jc m:val="center"/>
        </m:oMathParaPr>
        <m:oMath>
          <m:f>
            <m:fPr>
              <m:type m:val="bar"/>
            </m:fPr>
            <m:num>
              <m:r>
                <m:rPr>
                  <m:sty m:val="p"/>
                </m:rPr>
                <m:t>∂</m:t>
              </m:r>
              <m:sSub>
                <m:e>
                  <m:acc>
                    <m:accPr>
                      <m:chr m:val="̃"/>
                    </m:accPr>
                    <m:e>
                      <m:r>
                        <m:t>π</m:t>
                      </m:r>
                    </m:e>
                  </m:acc>
                </m:e>
                <m:sub>
                  <m:r>
                    <m:t>1</m:t>
                  </m:r>
                </m:sub>
              </m:sSub>
            </m:num>
            <m:den>
              <m:r>
                <m:rPr>
                  <m:sty m:val="p"/>
                </m:rPr>
                <m:t>∂</m:t>
              </m:r>
              <m:sSub>
                <m:e>
                  <m:r>
                    <m:t>s</m:t>
                  </m:r>
                </m:e>
                <m:sub>
                  <m:r>
                    <m:t>C</m:t>
                  </m:r>
                </m:sub>
              </m:sSub>
            </m:den>
          </m:f>
          <m:r>
            <m:rPr>
              <m:sty m:val="p"/>
            </m:rPr>
            <m:t>=</m:t>
          </m:r>
          <m:r>
            <m:t>α</m:t>
          </m:r>
          <m:sSub>
            <m:e>
              <m:acc>
                <m:accPr>
                  <m:chr m:val="̃"/>
                </m:accPr>
                <m:e>
                  <m:r>
                    <m:t>π</m:t>
                  </m:r>
                </m:e>
              </m:acc>
            </m:e>
            <m:sub>
              <m:r>
                <m:t>1</m:t>
              </m:r>
            </m:sub>
          </m:sSub>
          <m:r>
            <m:rPr>
              <m:sty m:val="p"/>
            </m:rPr>
            <m:t>(</m:t>
          </m:r>
          <m:r>
            <m:t>1</m:t>
          </m:r>
          <m:r>
            <m:rPr>
              <m:sty m:val="p"/>
            </m:rPr>
            <m:t>−</m:t>
          </m:r>
          <m:sSub>
            <m:e>
              <m:acc>
                <m:accPr>
                  <m:chr m:val="̃"/>
                </m:accPr>
                <m:e>
                  <m:r>
                    <m:t>π</m:t>
                  </m:r>
                </m:e>
              </m:acc>
            </m:e>
            <m:sub>
              <m:r>
                <m:t>1</m:t>
              </m:r>
            </m:sub>
          </m:sSub>
          <m:r>
            <m:rPr>
              <m:sty m:val="p"/>
            </m:rPr>
            <m:t>)</m:t>
          </m:r>
          <m:r>
            <m:rPr>
              <m:sty m:val="p"/>
            </m:rPr>
            <m:t>&gt;</m:t>
          </m:r>
          <m:r>
            <m:t>0</m:t>
          </m:r>
          <m:r>
            <m:rPr>
              <m:sty m:val="p"/>
            </m:rPr>
            <m:t>.</m:t>
          </m:r>
          <m:r>
            <m:t> </m:t>
          </m:r>
          <m:r>
            <m:rPr>
              <m:sty m:val="p"/>
            </m:rPr>
            <m:t>(</m:t>
          </m:r>
          <m:r>
            <m:t>44</m:t>
          </m:r>
          <m:r>
            <m:rPr>
              <m:sty m:val="p"/>
            </m:rPr>
            <m:t>)</m:t>
          </m:r>
        </m:oMath>
      </m:oMathPara>
    </w:p>
    <w:p>
      <w:pPr>
        <w:pStyle w:val="FirstParagraph"/>
      </w:pPr>
      <m:oMathPara>
        <m:oMathParaPr>
          <m:jc m:val="center"/>
        </m:oMathParaPr>
        <m:oMath>
          <m:f>
            <m:fPr>
              <m:type m:val="bar"/>
            </m:fPr>
            <m:num>
              <m:r>
                <m:rPr>
                  <m:sty m:val="p"/>
                </m:rPr>
                <m:t>∂</m:t>
              </m:r>
              <m:sSub>
                <m:e>
                  <m:acc>
                    <m:accPr>
                      <m:chr m:val="̃"/>
                    </m:accPr>
                    <m:e>
                      <m:r>
                        <m:t>π</m:t>
                      </m:r>
                    </m:e>
                  </m:acc>
                </m:e>
                <m:sub>
                  <m:r>
                    <m:t>1</m:t>
                  </m:r>
                </m:sub>
              </m:sSub>
            </m:num>
            <m:den>
              <m:r>
                <m:rPr>
                  <m:sty m:val="p"/>
                </m:rPr>
                <m:t>∂</m:t>
              </m:r>
              <m:r>
                <m:t>a</m:t>
              </m:r>
            </m:den>
          </m:f>
          <m:r>
            <m:rPr>
              <m:sty m:val="p"/>
            </m:rPr>
            <m:t>=</m:t>
          </m:r>
          <m:r>
            <m:t>β</m:t>
          </m:r>
          <m:sSub>
            <m:e>
              <m:acc>
                <m:accPr>
                  <m:chr m:val="̃"/>
                </m:accPr>
                <m:e>
                  <m:r>
                    <m:t>π</m:t>
                  </m:r>
                </m:e>
              </m:acc>
            </m:e>
            <m:sub>
              <m:r>
                <m:t>1</m:t>
              </m:r>
            </m:sub>
          </m:sSub>
          <m:r>
            <m:rPr>
              <m:sty m:val="p"/>
            </m:rPr>
            <m:t>(</m:t>
          </m:r>
          <m:r>
            <m:t>1</m:t>
          </m:r>
          <m:r>
            <m:rPr>
              <m:sty m:val="p"/>
            </m:rPr>
            <m:t>−</m:t>
          </m:r>
          <m:sSub>
            <m:e>
              <m:acc>
                <m:accPr>
                  <m:chr m:val="̃"/>
                </m:accPr>
                <m:e>
                  <m:r>
                    <m:t>π</m:t>
                  </m:r>
                </m:e>
              </m:acc>
            </m:e>
            <m:sub>
              <m:r>
                <m:t>1</m:t>
              </m:r>
            </m:sub>
          </m:sSub>
          <m:r>
            <m:rPr>
              <m:sty m:val="p"/>
            </m:rPr>
            <m:t>)</m:t>
          </m:r>
          <m:r>
            <m:rPr>
              <m:sty m:val="p"/>
            </m:rPr>
            <m:t>&gt;</m:t>
          </m:r>
          <m:r>
            <m:t>0</m:t>
          </m:r>
          <m:r>
            <m:rPr>
              <m:sty m:val="p"/>
            </m:rPr>
            <m:t>.</m:t>
          </m:r>
          <m:r>
            <m:t> </m:t>
          </m:r>
          <m:r>
            <m:rPr>
              <m:sty m:val="p"/>
            </m:rPr>
            <m:t>(</m:t>
          </m:r>
          <m:r>
            <m:t>45</m:t>
          </m:r>
          <m:r>
            <m:rPr>
              <m:sty m:val="p"/>
            </m:rPr>
            <m:t>)</m:t>
          </m:r>
        </m:oMath>
      </m:oMathPara>
    </w:p>
    <w:p>
      <w:pPr>
        <w:pStyle w:val="FirstParagraph"/>
      </w:pPr>
      <m:oMathPara>
        <m:oMathParaPr>
          <m:jc m:val="center"/>
        </m:oMathParaPr>
        <m:oMath>
          <m:f>
            <m:fPr>
              <m:type m:val="bar"/>
            </m:fPr>
            <m:num>
              <m:r>
                <m:rPr>
                  <m:sty m:val="p"/>
                </m:rPr>
                <m:t>∂</m:t>
              </m:r>
              <m:sSub>
                <m:e>
                  <m:acc>
                    <m:accPr>
                      <m:chr m:val="̃"/>
                    </m:accPr>
                    <m:e>
                      <m:r>
                        <m:t>π</m:t>
                      </m:r>
                    </m:e>
                  </m:acc>
                </m:e>
                <m:sub>
                  <m:r>
                    <m:t>1</m:t>
                  </m:r>
                </m:sub>
              </m:sSub>
            </m:num>
            <m:den>
              <m:r>
                <m:rPr>
                  <m:sty m:val="p"/>
                </m:rPr>
                <m:t>∂</m:t>
              </m:r>
              <m:r>
                <m:t>K</m:t>
              </m:r>
            </m:den>
          </m:f>
          <m:r>
            <m:rPr>
              <m:sty m:val="p"/>
            </m:rPr>
            <m:t>=</m:t>
          </m:r>
          <m:r>
            <m:t>φ</m:t>
          </m:r>
          <m:sSub>
            <m:e>
              <m:acc>
                <m:accPr>
                  <m:chr m:val="̃"/>
                </m:accPr>
                <m:e>
                  <m:r>
                    <m:t>π</m:t>
                  </m:r>
                </m:e>
              </m:acc>
            </m:e>
            <m:sub>
              <m:r>
                <m:t>1</m:t>
              </m:r>
            </m:sub>
          </m:sSub>
          <m:r>
            <m:rPr>
              <m:sty m:val="p"/>
            </m:rPr>
            <m:t>(</m:t>
          </m:r>
          <m:r>
            <m:t>1</m:t>
          </m:r>
          <m:r>
            <m:rPr>
              <m:sty m:val="p"/>
            </m:rPr>
            <m:t>−</m:t>
          </m:r>
          <m:sSub>
            <m:e>
              <m:acc>
                <m:accPr>
                  <m:chr m:val="̃"/>
                </m:accPr>
                <m:e>
                  <m:r>
                    <m:t>π</m:t>
                  </m:r>
                </m:e>
              </m:acc>
            </m:e>
            <m:sub>
              <m:r>
                <m:t>1</m:t>
              </m:r>
            </m:sub>
          </m:sSub>
          <m:r>
            <m:rPr>
              <m:sty m:val="p"/>
            </m:rPr>
            <m:t>)</m:t>
          </m:r>
          <m:r>
            <m:rPr>
              <m:sty m:val="p"/>
            </m:rPr>
            <m:t>&gt;</m:t>
          </m:r>
          <m:r>
            <m:t>0</m:t>
          </m:r>
          <m:r>
            <m:rPr>
              <m:sty m:val="p"/>
            </m:rPr>
            <m:t>.</m:t>
          </m:r>
          <m:r>
            <m:t> </m:t>
          </m:r>
          <m:r>
            <m:rPr>
              <m:sty m:val="p"/>
            </m:rPr>
            <m:t>(</m:t>
          </m:r>
          <m:r>
            <m:t>46</m:t>
          </m:r>
          <m:r>
            <m:rPr>
              <m:sty m:val="p"/>
            </m:rPr>
            <m:t>)</m:t>
          </m:r>
        </m:oMath>
      </m:oMathPara>
    </w:p>
    <w:p>
      <w:pPr>
        <w:pStyle w:val="FirstParagraph"/>
      </w:pPr>
      <m:oMathPara>
        <m:oMathParaPr>
          <m:jc m:val="center"/>
        </m:oMathParaPr>
        <m:oMath>
          <m:f>
            <m:fPr>
              <m:type m:val="bar"/>
            </m:fPr>
            <m:num>
              <m:r>
                <m:rPr>
                  <m:sty m:val="p"/>
                </m:rPr>
                <m:t>∂</m:t>
              </m:r>
              <m:sSub>
                <m:e>
                  <m:acc>
                    <m:accPr>
                      <m:chr m:val="̃"/>
                    </m:accPr>
                    <m:e>
                      <m:r>
                        <m:t>π</m:t>
                      </m:r>
                    </m:e>
                  </m:acc>
                </m:e>
                <m:sub>
                  <m:r>
                    <m:t>1</m:t>
                  </m:r>
                </m:sub>
              </m:sSub>
            </m:num>
            <m:den>
              <m:r>
                <m:rPr>
                  <m:sty m:val="p"/>
                </m:rPr>
                <m:t>∂</m:t>
              </m:r>
              <m:r>
                <m:t>D</m:t>
              </m:r>
            </m:den>
          </m:f>
          <m:r>
            <m:rPr>
              <m:sty m:val="p"/>
            </m:rPr>
            <m:t>=</m:t>
          </m:r>
          <m:r>
            <m:rPr>
              <m:sty m:val="p"/>
            </m:rPr>
            <m:t>−</m:t>
          </m:r>
          <m:r>
            <m:t>γ</m:t>
          </m:r>
          <m:sSub>
            <m:e>
              <m:acc>
                <m:accPr>
                  <m:chr m:val="̃"/>
                </m:accPr>
                <m:e>
                  <m:r>
                    <m:t>π</m:t>
                  </m:r>
                </m:e>
              </m:acc>
            </m:e>
            <m:sub>
              <m:r>
                <m:t>1</m:t>
              </m:r>
            </m:sub>
          </m:sSub>
          <m:r>
            <m:rPr>
              <m:sty m:val="p"/>
            </m:rPr>
            <m:t>(</m:t>
          </m:r>
          <m:r>
            <m:t>1</m:t>
          </m:r>
          <m:r>
            <m:rPr>
              <m:sty m:val="p"/>
            </m:rPr>
            <m:t>−</m:t>
          </m:r>
          <m:sSub>
            <m:e>
              <m:acc>
                <m:accPr>
                  <m:chr m:val="̃"/>
                </m:accPr>
                <m:e>
                  <m:r>
                    <m:t>π</m:t>
                  </m:r>
                </m:e>
              </m:acc>
            </m:e>
            <m:sub>
              <m:r>
                <m:t>1</m:t>
              </m:r>
            </m:sub>
          </m:sSub>
          <m:r>
            <m:rPr>
              <m:sty m:val="p"/>
            </m:rPr>
            <m:t>)</m:t>
          </m:r>
          <m:r>
            <m:rPr>
              <m:sty m:val="p"/>
            </m:rPr>
            <m:t>&lt;</m:t>
          </m:r>
          <m:r>
            <m:t>0</m:t>
          </m:r>
          <m:r>
            <m:rPr>
              <m:sty m:val="p"/>
            </m:rPr>
            <m:t>.</m:t>
          </m:r>
          <m:r>
            <m:t> </m:t>
          </m:r>
          <m:r>
            <m:rPr>
              <m:sty m:val="p"/>
            </m:rPr>
            <m:t>(</m:t>
          </m:r>
          <m:r>
            <m:t>47</m:t>
          </m:r>
          <m:r>
            <m:rPr>
              <m:sty m:val="p"/>
            </m:rPr>
            <m:t>)</m:t>
          </m:r>
        </m:oMath>
      </m:oMathPara>
    </w:p>
    <w:p>
      <w:pPr>
        <w:pStyle w:val="FirstParagraph"/>
      </w:pPr>
      <w:r>
        <w:t xml:space="preserve">The marginal effect is maximised near</w:t>
      </w:r>
      <w:r>
        <w:t xml:space="preserve"> </w:t>
      </w:r>
      <m:oMath>
        <m:sSub>
          <m:e>
            <m:acc>
              <m:accPr>
                <m:chr m:val="̃"/>
              </m:accPr>
              <m:e>
                <m:r>
                  <m:t>π</m:t>
                </m:r>
              </m:e>
            </m:acc>
          </m:e>
          <m:sub>
            <m:r>
              <m:t>1</m:t>
            </m:r>
          </m:sub>
        </m:sSub>
        <m:r>
          <m:rPr>
            <m:sty m:val="p"/>
          </m:rPr>
          <m:t>=</m:t>
        </m:r>
        <m:r>
          <m:t>1</m:t>
        </m:r>
        <m:r>
          <m:rPr>
            <m:sty m:val="p"/>
          </m:rPr>
          <m:t>/</m:t>
        </m:r>
        <m:r>
          <m:t>2</m:t>
        </m:r>
      </m:oMath>
      <w:r>
        <w:t xml:space="preserve"> </w:t>
      </w:r>
      <w:r>
        <w:t xml:space="preserve">and becomes small near zero or one. Political persuasion is therefore most productive when the voter is uncertain rather than fully reassured or fully alarmed.</w:t>
      </w:r>
    </w:p>
    <w:bookmarkEnd w:id="39"/>
    <w:bookmarkStart w:id="40" w:name="a.2.-endogenous-media-amplification"/>
    <w:p>
      <w:pPr>
        <w:pStyle w:val="Heading3"/>
      </w:pPr>
      <w:r>
        <w:t xml:space="preserve">A.2. Endogenous media amplification</w:t>
      </w:r>
    </w:p>
    <w:p>
      <w:pPr>
        <w:pStyle w:val="FirstParagraph"/>
      </w:pPr>
      <w:r>
        <w:t xml:space="preserve">Let media attention</w:t>
      </w:r>
      <w:r>
        <w:t xml:space="preserve"> </w:t>
      </w:r>
      <m:oMath>
        <m:r>
          <m:t>h</m:t>
        </m:r>
      </m:oMath>
      <w:r>
        <w:t xml:space="preserve"> </w:t>
      </w:r>
      <w:r>
        <w:t xml:space="preserve">be an increasing function of governmental action and event salience:</w:t>
      </w:r>
      <w:r>
        <w:t xml:space="preserve"> </w:t>
      </w:r>
      <m:oMath>
        <m:r>
          <m:t>h</m:t>
        </m:r>
        <m:r>
          <m:rPr>
            <m:sty m:val="p"/>
          </m:rPr>
          <m:t>=</m:t>
        </m:r>
        <m:r>
          <m:t>h</m:t>
        </m:r>
        <m:r>
          <m:rPr>
            <m:sty m:val="p"/>
          </m:rPr>
          <m:t>(</m:t>
        </m:r>
        <m:r>
          <m:t>a</m:t>
        </m:r>
        <m:r>
          <m:rPr>
            <m:sty m:val="p"/>
          </m:rPr>
          <m:t>,</m:t>
        </m:r>
        <m:sSub>
          <m:e>
            <m:r>
              <m:t>s</m:t>
            </m:r>
          </m:e>
          <m:sub>
            <m:r>
              <m:t>C</m:t>
            </m:r>
          </m:sub>
        </m:sSub>
        <m:r>
          <m:rPr>
            <m:sty m:val="p"/>
          </m:rPr>
          <m:t>)</m:t>
        </m:r>
      </m:oMath>
      <w:r>
        <w:t xml:space="preserve">, with</w:t>
      </w:r>
      <w:r>
        <w:t xml:space="preserve"> </w:t>
      </w:r>
      <m:oMath>
        <m:sSub>
          <m:e>
            <m:r>
              <m:t>h</m:t>
            </m:r>
          </m:e>
          <m:sub>
            <m:r>
              <m:t>a</m:t>
            </m:r>
          </m:sub>
        </m:sSub>
        <m:r>
          <m:rPr>
            <m:sty m:val="p"/>
          </m:rPr>
          <m:t>&gt;</m:t>
        </m:r>
        <m:r>
          <m:t>0</m:t>
        </m:r>
      </m:oMath>
      <w:r>
        <w:t xml:space="preserve"> </w:t>
      </w:r>
      <w:r>
        <w:t xml:space="preserve">and</w:t>
      </w:r>
      <w:r>
        <w:t xml:space="preserve"> </w:t>
      </w:r>
      <m:oMath>
        <m:sSub>
          <m:e>
            <m:r>
              <m:t>h</m:t>
            </m:r>
          </m:e>
          <m:sub>
            <m:r>
              <m:t>s</m:t>
            </m:r>
          </m:sub>
        </m:sSub>
        <m:r>
          <m:rPr>
            <m:sty m:val="p"/>
          </m:rPr>
          <m:t>&gt;</m:t>
        </m:r>
        <m:r>
          <m:t>0</m:t>
        </m:r>
      </m:oMath>
      <w:r>
        <w:t xml:space="preserve">. Suppose the effective salience term is</w:t>
      </w:r>
      <w:r>
        <w:t xml:space="preserve"> </w:t>
      </w:r>
      <m:oMath>
        <m:sSub>
          <m:e>
            <m:r>
              <m:t>s</m:t>
            </m:r>
          </m:e>
          <m:sub>
            <m:r>
              <m:t>C</m:t>
            </m:r>
          </m:sub>
        </m:sSub>
        <m:r>
          <m:rPr>
            <m:sty m:val="p"/>
          </m:rPr>
          <m:t>+</m:t>
        </m:r>
        <m:r>
          <m:t>ν</m:t>
        </m:r>
        <m:r>
          <m:t>h</m:t>
        </m:r>
      </m:oMath>
      <w:r>
        <w:t xml:space="preserve">. Equation (10) becomes:</w:t>
      </w:r>
    </w:p>
    <w:p>
      <w:pPr>
        <w:pStyle w:val="BodyText"/>
      </w:pPr>
      <m:oMathPara>
        <m:oMathParaPr>
          <m:jc m:val="center"/>
        </m:oMathParaPr>
        <m:oMath>
          <m:r>
            <m:rPr>
              <m:sty m:val="p"/>
            </m:rPr>
            <m:t>logit</m:t>
          </m:r>
          <m:r>
            <m:rPr>
              <m:sty m:val="p"/>
            </m:rPr>
            <m:t>(</m:t>
          </m:r>
          <m:sSub>
            <m:e>
              <m:acc>
                <m:accPr>
                  <m:chr m:val="̃"/>
                </m:accPr>
                <m:e>
                  <m:r>
                    <m:t>π</m:t>
                  </m:r>
                </m:e>
              </m:acc>
            </m:e>
            <m:sub>
              <m:r>
                <m:t>1</m:t>
              </m:r>
            </m:sub>
          </m:sSub>
          <m:r>
            <m:rPr>
              <m:sty m:val="p"/>
            </m:rPr>
            <m:t>)</m:t>
          </m:r>
          <m:r>
            <m:rPr>
              <m:sty m:val="p"/>
            </m:rPr>
            <m:t>=</m:t>
          </m:r>
          <m:r>
            <m:rPr>
              <m:sty m:val="p"/>
            </m:rPr>
            <m:t>logit</m:t>
          </m:r>
          <m:r>
            <m:rPr>
              <m:sty m:val="p"/>
            </m:rPr>
            <m:t>(</m:t>
          </m:r>
          <m:sSub>
            <m:e>
              <m:r>
                <m:t>π</m:t>
              </m:r>
            </m:e>
            <m:sub>
              <m:r>
                <m:t>0</m:t>
              </m:r>
            </m:sub>
          </m:sSub>
          <m:r>
            <m:rPr>
              <m:sty m:val="p"/>
            </m:rPr>
            <m:t>)</m:t>
          </m:r>
          <m:r>
            <m:rPr>
              <m:sty m:val="p"/>
            </m:rPr>
            <m:t>+</m:t>
          </m:r>
          <m:r>
            <m:rPr>
              <m:sty m:val="p"/>
            </m:rPr>
            <m:t>ln</m:t>
          </m:r>
          <m:r>
            <m:rPr>
              <m:sty m:val="p"/>
            </m:rPr>
            <m:t>Λ</m:t>
          </m:r>
          <m:r>
            <m:rPr>
              <m:sty m:val="p"/>
            </m:rPr>
            <m:t>+</m:t>
          </m:r>
          <m:r>
            <m:t>α</m:t>
          </m:r>
          <m:r>
            <m:rPr>
              <m:sty m:val="p"/>
            </m:rPr>
            <m:t>[</m:t>
          </m:r>
          <m:sSub>
            <m:e>
              <m:r>
                <m:t>s</m:t>
              </m:r>
            </m:e>
            <m:sub>
              <m:r>
                <m:t>C</m:t>
              </m:r>
            </m:sub>
          </m:sSub>
          <m:r>
            <m:rPr>
              <m:sty m:val="p"/>
            </m:rPr>
            <m:t>+</m:t>
          </m:r>
          <m:r>
            <m:t>ν</m:t>
          </m:r>
          <m:r>
            <m:t>h</m:t>
          </m:r>
          <m:r>
            <m:rPr>
              <m:sty m:val="p"/>
            </m:rPr>
            <m:t>(</m:t>
          </m:r>
          <m:r>
            <m:t>a</m:t>
          </m:r>
          <m:r>
            <m:rPr>
              <m:sty m:val="p"/>
            </m:rPr>
            <m:t>,</m:t>
          </m:r>
          <m:sSub>
            <m:e>
              <m:r>
                <m:t>s</m:t>
              </m:r>
            </m:e>
            <m:sub>
              <m:r>
                <m:t>C</m:t>
              </m:r>
            </m:sub>
          </m:sSub>
          <m:r>
            <m:rPr>
              <m:sty m:val="p"/>
            </m:rPr>
            <m:t>)</m:t>
          </m:r>
          <m:r>
            <m:rPr>
              <m:sty m:val="p"/>
            </m:rPr>
            <m:t>]</m:t>
          </m:r>
          <m:r>
            <m:rPr>
              <m:sty m:val="p"/>
            </m:rPr>
            <m:t>+</m:t>
          </m:r>
          <m:r>
            <m:t>β</m:t>
          </m:r>
          <m:r>
            <m:t>a</m:t>
          </m:r>
          <m:r>
            <m:rPr>
              <m:sty m:val="p"/>
            </m:rPr>
            <m:t>+</m:t>
          </m:r>
          <m:r>
            <m:t>φ</m:t>
          </m:r>
          <m:r>
            <m:t>K</m:t>
          </m:r>
          <m:r>
            <m:rPr>
              <m:sty m:val="p"/>
            </m:rPr>
            <m:t>−</m:t>
          </m:r>
          <m:r>
            <m:t>γ</m:t>
          </m:r>
          <m:r>
            <m:t>D</m:t>
          </m:r>
          <m:r>
            <m:rPr>
              <m:sty m:val="p"/>
            </m:rPr>
            <m:t>.</m:t>
          </m:r>
          <m:r>
            <m:t> </m:t>
          </m:r>
          <m:r>
            <m:rPr>
              <m:sty m:val="p"/>
            </m:rPr>
            <m:t>(</m:t>
          </m:r>
          <m:r>
            <m:t>48</m:t>
          </m:r>
          <m:r>
            <m:rPr>
              <m:sty m:val="p"/>
            </m:rPr>
            <m:t>)</m:t>
          </m:r>
        </m:oMath>
      </m:oMathPara>
    </w:p>
    <w:p>
      <w:pPr>
        <w:pStyle w:val="FirstParagraph"/>
      </w:pPr>
      <w:r>
        <w:t xml:space="preserve">The total derivative with respect to action is:</w:t>
      </w:r>
    </w:p>
    <w:p>
      <w:pPr>
        <w:pStyle w:val="BodyText"/>
      </w:pPr>
      <m:oMathPara>
        <m:oMathParaPr>
          <m:jc m:val="center"/>
        </m:oMathParaPr>
        <m:oMath>
          <m:f>
            <m:fPr>
              <m:type m:val="bar"/>
            </m:fPr>
            <m:num>
              <m:r>
                <m:t>d</m:t>
              </m:r>
              <m:r>
                <m:rPr>
                  <m:sty m:val="p"/>
                </m:rPr>
                <m:t>logit</m:t>
              </m:r>
              <m:r>
                <m:rPr>
                  <m:sty m:val="p"/>
                </m:rPr>
                <m:t>(</m:t>
              </m:r>
              <m:sSub>
                <m:e>
                  <m:acc>
                    <m:accPr>
                      <m:chr m:val="̃"/>
                    </m:accPr>
                    <m:e>
                      <m:r>
                        <m:t>π</m:t>
                      </m:r>
                    </m:e>
                  </m:acc>
                </m:e>
                <m:sub>
                  <m:r>
                    <m:t>1</m:t>
                  </m:r>
                </m:sub>
              </m:sSub>
              <m:r>
                <m:rPr>
                  <m:sty m:val="p"/>
                </m:rPr>
                <m:t>)</m:t>
              </m:r>
            </m:num>
            <m:den>
              <m:r>
                <m:t>d</m:t>
              </m:r>
              <m:r>
                <m:t>a</m:t>
              </m:r>
            </m:den>
          </m:f>
          <m:r>
            <m:rPr>
              <m:sty m:val="p"/>
            </m:rPr>
            <m:t>=</m:t>
          </m:r>
          <m:r>
            <m:t>β</m:t>
          </m:r>
          <m:r>
            <m:rPr>
              <m:sty m:val="p"/>
            </m:rPr>
            <m:t>+</m:t>
          </m:r>
          <m:r>
            <m:t>α</m:t>
          </m:r>
          <m:r>
            <m:t>ν</m:t>
          </m:r>
          <m:sSub>
            <m:e>
              <m:r>
                <m:t>h</m:t>
              </m:r>
            </m:e>
            <m:sub>
              <m:r>
                <m:t>a</m:t>
              </m:r>
            </m:sub>
          </m:sSub>
          <m:r>
            <m:rPr>
              <m:sty m:val="p"/>
            </m:rPr>
            <m:t>.</m:t>
          </m:r>
          <m:r>
            <m:t> </m:t>
          </m:r>
          <m:r>
            <m:rPr>
              <m:sty m:val="p"/>
            </m:rPr>
            <m:t>(</m:t>
          </m:r>
          <m:r>
            <m:t>49</m:t>
          </m:r>
          <m:r>
            <m:rPr>
              <m:sty m:val="p"/>
            </m:rPr>
            <m:t>)</m:t>
          </m:r>
        </m:oMath>
      </m:oMathPara>
    </w:p>
    <w:p>
      <w:pPr>
        <w:pStyle w:val="FirstParagraph"/>
      </w:pPr>
      <w:r>
        <w:t xml:space="preserve">Action thus affects beliefs directly through signalling and indirectly through media amplification. This creates an incentive to choose visible policies rather than technically effective but low-visibility policies.</w:t>
      </w:r>
    </w:p>
    <w:bookmarkEnd w:id="40"/>
    <w:bookmarkStart w:id="41" w:name="Xb572a45c6246def37913a76a6c243ae919c30f2"/>
    <w:p>
      <w:pPr>
        <w:pStyle w:val="Heading3"/>
      </w:pPr>
      <w:r>
        <w:t xml:space="preserve">A.3. Strategic complementarity across governments</w:t>
      </w:r>
    </w:p>
    <w:p>
      <w:pPr>
        <w:pStyle w:val="FirstParagraph"/>
      </w:pPr>
      <w:r>
        <w:t xml:space="preserve">Let government</w:t>
      </w:r>
      <w:r>
        <w:t xml:space="preserve"> </w:t>
      </w:r>
      <m:oMath>
        <m:r>
          <m:t>j</m:t>
        </m:r>
      </m:oMath>
      <w:r>
        <w:t xml:space="preserve">’s payoff from controls be</w:t>
      </w:r>
      <w:r>
        <w:t xml:space="preserve"> </w:t>
      </w:r>
      <m:oMath>
        <m:sSub>
          <m:e>
            <m:r>
              <m:t>E</m:t>
            </m:r>
          </m:e>
          <m:sub>
            <m:r>
              <m:t>j</m:t>
            </m:r>
          </m:sub>
        </m:sSub>
        <m:r>
          <m:rPr>
            <m:sty m:val="p"/>
          </m:rPr>
          <m:t>(</m:t>
        </m:r>
        <m:sSub>
          <m:e>
            <m:r>
              <m:t>C</m:t>
            </m:r>
          </m:e>
          <m:sub>
            <m:r>
              <m:t>j</m:t>
            </m:r>
          </m:sub>
        </m:sSub>
        <m:r>
          <m:rPr>
            <m:sty m:val="p"/>
          </m:rPr>
          <m:t>,</m:t>
        </m:r>
        <m:sSub>
          <m:e>
            <m:r>
              <m:t>C</m:t>
            </m:r>
          </m:e>
          <m:sub>
            <m:r>
              <m:rPr>
                <m:sty m:val="p"/>
              </m:rPr>
              <m:t>−</m:t>
            </m:r>
            <m:r>
              <m:t>j</m:t>
            </m:r>
          </m:sub>
        </m:sSub>
        <m:r>
          <m:rPr>
            <m:sty m:val="p"/>
          </m:rPr>
          <m:t>)</m:t>
        </m:r>
      </m:oMath>
      <w:r>
        <w:t xml:space="preserve">. If other governments’ controls raise common knowledge</w:t>
      </w:r>
      <w:r>
        <w:t xml:space="preserve"> </w:t>
      </w:r>
      <m:oMath>
        <m:r>
          <m:t>K</m:t>
        </m:r>
      </m:oMath>
      <w:r>
        <w:t xml:space="preserve">, then:</w:t>
      </w:r>
    </w:p>
    <w:p>
      <w:pPr>
        <w:pStyle w:val="BodyText"/>
      </w:pPr>
      <m:oMathPara>
        <m:oMathParaPr>
          <m:jc m:val="center"/>
        </m:oMathParaPr>
        <m:oMath>
          <m:f>
            <m:fPr>
              <m:type m:val="bar"/>
            </m:fPr>
            <m:num>
              <m:sSup>
                <m:e>
                  <m:r>
                    <m:rPr>
                      <m:sty m:val="p"/>
                    </m:rPr>
                    <m:t>∂</m:t>
                  </m:r>
                </m:e>
                <m:sup>
                  <m:r>
                    <m:t>2</m:t>
                  </m:r>
                </m:sup>
              </m:sSup>
              <m:sSub>
                <m:e>
                  <m:r>
                    <m:t>E</m:t>
                  </m:r>
                </m:e>
                <m:sub>
                  <m:r>
                    <m:t>j</m:t>
                  </m:r>
                </m:sub>
              </m:sSub>
            </m:num>
            <m:den>
              <m:r>
                <m:rPr>
                  <m:sty m:val="p"/>
                </m:rPr>
                <m:t>∂</m:t>
              </m:r>
              <m:sSub>
                <m:e>
                  <m:r>
                    <m:t>C</m:t>
                  </m:r>
                </m:e>
                <m:sub>
                  <m:r>
                    <m:t>j</m:t>
                  </m:r>
                </m:sub>
              </m:sSub>
              <m:r>
                <m:t> </m:t>
              </m:r>
              <m:r>
                <m:rPr>
                  <m:sty m:val="p"/>
                </m:rPr>
                <m:t>∂</m:t>
              </m:r>
              <m:sSub>
                <m:e>
                  <m:r>
                    <m:t>C</m:t>
                  </m:r>
                </m:e>
                <m:sub>
                  <m:r>
                    <m:rPr>
                      <m:sty m:val="p"/>
                    </m:rPr>
                    <m:t>−</m:t>
                  </m:r>
                  <m:r>
                    <m:t>j</m:t>
                  </m:r>
                </m:sub>
              </m:sSub>
            </m:den>
          </m:f>
          <m:r>
            <m:rPr>
              <m:sty m:val="p"/>
            </m:rPr>
            <m:t>&gt;</m:t>
          </m:r>
          <m:r>
            <m:t>0</m:t>
          </m:r>
          <m:r>
            <m:t> </m:t>
          </m:r>
          <m:r>
            <m:rPr>
              <m:sty m:val="p"/>
            </m:rPr>
            <m:t>(</m:t>
          </m:r>
          <m:r>
            <m:t>50</m:t>
          </m:r>
          <m:r>
            <m:rPr>
              <m:sty m:val="p"/>
            </m:rPr>
            <m:t>)</m:t>
          </m:r>
        </m:oMath>
      </m:oMathPara>
    </w:p>
    <w:p>
      <w:pPr>
        <w:pStyle w:val="FirstParagraph"/>
      </w:pPr>
      <w:r>
        <w:t xml:space="preserve">is a sufficient condition for strategic complementarity. Multiple equilibria can emerge: a low-control equilibrium with limited common alarm and a high-control equilibrium in which each precaution validates the others. A salient external shock can move the system from the first basin of attraction to the second.</w:t>
      </w:r>
    </w:p>
    <w:bookmarkEnd w:id="41"/>
    <w:bookmarkStart w:id="42" w:name="a.4.-welfare-wedge"/>
    <w:p>
      <w:pPr>
        <w:pStyle w:val="Heading3"/>
      </w:pPr>
      <w:r>
        <w:t xml:space="preserve">A.4. Welfare wedge</w:t>
      </w:r>
    </w:p>
    <w:p>
      <w:pPr>
        <w:pStyle w:val="FirstParagraph"/>
      </w:pPr>
      <w:r>
        <w:t xml:space="preserve">Let the party internalise only a fraction</w:t>
      </w:r>
      <w:r>
        <w:t xml:space="preserve"> </w:t>
      </w:r>
      <m:oMath>
        <m:r>
          <m:t>τ</m:t>
        </m:r>
        <m:r>
          <m:rPr>
            <m:sty m:val="p"/>
          </m:rPr>
          <m:t>∈</m:t>
        </m:r>
        <m:r>
          <m:rPr>
            <m:sty m:val="p"/>
          </m:rPr>
          <m:t>[</m:t>
        </m:r>
        <m:r>
          <m:t>0</m:t>
        </m:r>
        <m:r>
          <m:rPr>
            <m:sty m:val="p"/>
          </m:rPr>
          <m:t>,</m:t>
        </m:r>
        <m:r>
          <m:t>1</m:t>
        </m:r>
        <m:r>
          <m:rPr>
            <m:sty m:val="p"/>
          </m:rPr>
          <m:t>]</m:t>
        </m:r>
      </m:oMath>
      <w:r>
        <w:t xml:space="preserve"> </w:t>
      </w:r>
      <w:r>
        <w:t xml:space="preserve">of the social cost</w:t>
      </w:r>
      <w:r>
        <w:t xml:space="preserve"> </w:t>
      </w:r>
      <m:oMath>
        <m:r>
          <m:t>X</m:t>
        </m:r>
      </m:oMath>
      <w:r>
        <w:t xml:space="preserve"> </w:t>
      </w:r>
      <w:r>
        <w:t xml:space="preserve">generated by controls. Its private cost is</w:t>
      </w:r>
      <w:r>
        <w:t xml:space="preserve"> </w:t>
      </w:r>
      <m:oMath>
        <m:sSub>
          <m:e>
            <m:r>
              <m:t>C</m:t>
            </m:r>
          </m:e>
          <m:sub>
            <m:r>
              <m:t>P</m:t>
            </m:r>
          </m:sub>
        </m:sSub>
        <m:r>
          <m:rPr>
            <m:sty m:val="p"/>
          </m:rPr>
          <m:t>+</m:t>
        </m:r>
        <m:r>
          <m:t>τ</m:t>
        </m:r>
        <m:r>
          <m:t>X</m:t>
        </m:r>
      </m:oMath>
      <w:r>
        <w:t xml:space="preserve">, while the social cost is</w:t>
      </w:r>
      <w:r>
        <w:t xml:space="preserve"> </w:t>
      </w:r>
      <m:oMath>
        <m:sSub>
          <m:e>
            <m:r>
              <m:t>C</m:t>
            </m:r>
          </m:e>
          <m:sub>
            <m:r>
              <m:t>P</m:t>
            </m:r>
          </m:sub>
        </m:sSub>
        <m:r>
          <m:rPr>
            <m:sty m:val="p"/>
          </m:rPr>
          <m:t>+</m:t>
        </m:r>
        <m:r>
          <m:t>X</m:t>
        </m:r>
      </m:oMath>
      <w:r>
        <w:t xml:space="preserve">. The action can be electorally optimal and socially inefficient whenever:</w:t>
      </w:r>
    </w:p>
    <w:p>
      <w:pPr>
        <w:pStyle w:val="BodyText"/>
      </w:pPr>
      <m:oMathPara>
        <m:oMathParaPr>
          <m:jc m:val="center"/>
        </m:oMathParaPr>
        <m:oMath>
          <m:r>
            <m:t>G</m:t>
          </m:r>
          <m:r>
            <m:rPr>
              <m:sty m:val="p"/>
            </m:rPr>
            <m:t>&gt;</m:t>
          </m:r>
          <m:sSub>
            <m:e>
              <m:r>
                <m:t>C</m:t>
              </m:r>
            </m:e>
            <m:sub>
              <m:r>
                <m:t>P</m:t>
              </m:r>
            </m:sub>
          </m:sSub>
          <m:r>
            <m:rPr>
              <m:sty m:val="p"/>
            </m:rPr>
            <m:t>+</m:t>
          </m:r>
          <m:r>
            <m:t>τ</m:t>
          </m:r>
          <m:r>
            <m:t>X</m:t>
          </m:r>
          <m:r>
            <m:t> </m:t>
          </m:r>
          <m:r>
            <m:rPr>
              <m:nor/>
              <m:sty m:val="p"/>
            </m:rPr>
            <m:t>but</m:t>
          </m:r>
          <m:r>
            <m:t> </m:t>
          </m:r>
          <m:r>
            <m:t>G</m:t>
          </m:r>
          <m:r>
            <m:rPr>
              <m:sty m:val="p"/>
            </m:rPr>
            <m:t>&lt;</m:t>
          </m:r>
          <m:sSub>
            <m:e>
              <m:r>
                <m:t>C</m:t>
              </m:r>
            </m:e>
            <m:sub>
              <m:r>
                <m:t>P</m:t>
              </m:r>
            </m:sub>
          </m:sSub>
          <m:r>
            <m:rPr>
              <m:sty m:val="p"/>
            </m:rPr>
            <m:t>+</m:t>
          </m:r>
          <m:r>
            <m:t>X</m:t>
          </m:r>
          <m:r>
            <m:rPr>
              <m:sty m:val="p"/>
            </m:rPr>
            <m:t>.</m:t>
          </m:r>
          <m:r>
            <m:t> </m:t>
          </m:r>
          <m:r>
            <m:rPr>
              <m:sty m:val="p"/>
            </m:rPr>
            <m:t>(</m:t>
          </m:r>
          <m:r>
            <m:t>51</m:t>
          </m:r>
          <m:r>
            <m:rPr>
              <m:sty m:val="p"/>
            </m:rPr>
            <m:t>)</m:t>
          </m:r>
        </m:oMath>
      </m:oMathPara>
    </w:p>
    <w:p>
      <w:pPr>
        <w:pStyle w:val="FirstParagraph"/>
      </w:pPr>
      <w:r>
        <w:t xml:space="preserve">This interval is non-empty whenever</w:t>
      </w:r>
      <w:r>
        <w:t xml:space="preserve"> </w:t>
      </w:r>
      <m:oMath>
        <m:r>
          <m:t>τ</m:t>
        </m:r>
        <m:r>
          <m:rPr>
            <m:sty m:val="p"/>
          </m:rPr>
          <m:t>&lt;</m:t>
        </m:r>
        <m:r>
          <m:t>1</m:t>
        </m:r>
      </m:oMath>
      <w:r>
        <w:t xml:space="preserve">. Political competition can therefore overproduce visible precautions whose costs fall on diffuse actors.</w:t>
      </w:r>
    </w:p>
    <w:bookmarkEnd w:id="42"/>
    <w:bookmarkEnd w:id="43"/>
    <w:bookmarkStart w:id="44" w:name="appendix-b.-notation"/>
    <w:p>
      <w:pPr>
        <w:pStyle w:val="Heading2"/>
      </w:pPr>
      <w:r>
        <w:t xml:space="preserve">Appendix B. Notation</w:t>
      </w:r>
    </w:p>
    <w:p>
      <w:pPr>
        <w:pStyle w:val="Compact"/>
        <w:numPr>
          <w:ilvl w:val="0"/>
          <w:numId w:val="1002"/>
        </w:numPr>
      </w:pPr>
      <w:r>
        <w:t xml:space="preserve">θ: Underlying state: material onward-movement risk absent/present</w:t>
      </w:r>
    </w:p>
    <w:p>
      <w:pPr>
        <w:pStyle w:val="Compact"/>
        <w:numPr>
          <w:ilvl w:val="0"/>
          <w:numId w:val="1002"/>
        </w:numPr>
      </w:pPr>
      <w:r>
        <w:t xml:space="preserve">π₀: Prior probability of the high-risk state</w:t>
      </w:r>
    </w:p>
    <w:p>
      <w:pPr>
        <w:pStyle w:val="Compact"/>
        <w:numPr>
          <w:ilvl w:val="0"/>
          <w:numId w:val="1002"/>
        </w:numPr>
      </w:pPr>
      <w:r>
        <w:t xml:space="preserve">π₁: Objective Bayesian posterior</w:t>
      </w:r>
    </w:p>
    <w:p>
      <w:pPr>
        <w:pStyle w:val="Compact"/>
        <w:numPr>
          <w:ilvl w:val="0"/>
          <w:numId w:val="1002"/>
        </w:numPr>
      </w:pPr>
      <w:r>
        <w:t xml:space="preserve">π̃₁: Politically and behaviourally mediated posterior</w:t>
      </w:r>
    </w:p>
    <w:p>
      <w:pPr>
        <w:pStyle w:val="Compact"/>
        <w:numPr>
          <w:ilvl w:val="0"/>
          <w:numId w:val="1002"/>
        </w:numPr>
      </w:pPr>
      <w:r>
        <w:t xml:space="preserve">Λ(x_C): Likelihood ratio generated by the Ceuta event</w:t>
      </w:r>
    </w:p>
    <w:p>
      <w:pPr>
        <w:pStyle w:val="Compact"/>
        <w:numPr>
          <w:ilvl w:val="0"/>
          <w:numId w:val="1002"/>
        </w:numPr>
      </w:pPr>
      <w:r>
        <w:t xml:space="preserve">s_C: Salience of the Ceuta shock</w:t>
      </w:r>
    </w:p>
    <w:p>
      <w:pPr>
        <w:pStyle w:val="Compact"/>
        <w:numPr>
          <w:ilvl w:val="0"/>
          <w:numId w:val="1002"/>
        </w:numPr>
      </w:pPr>
      <w:r>
        <w:t xml:space="preserve">a: Intensity of the Italian governmental response</w:t>
      </w:r>
    </w:p>
    <w:p>
      <w:pPr>
        <w:pStyle w:val="Compact"/>
        <w:numPr>
          <w:ilvl w:val="0"/>
          <w:numId w:val="1002"/>
        </w:numPr>
      </w:pPr>
      <w:r>
        <w:t xml:space="preserve">K: Common-knowledge / institutional-attention term</w:t>
      </w:r>
    </w:p>
    <w:p>
      <w:pPr>
        <w:pStyle w:val="Compact"/>
        <w:numPr>
          <w:ilvl w:val="0"/>
          <w:numId w:val="1002"/>
        </w:numPr>
      </w:pPr>
      <w:r>
        <w:t xml:space="preserve">D: Strength of Sánchez’s data-based correction</w:t>
      </w:r>
    </w:p>
    <w:p>
      <w:pPr>
        <w:pStyle w:val="Compact"/>
        <w:numPr>
          <w:ilvl w:val="0"/>
          <w:numId w:val="1002"/>
        </w:numPr>
      </w:pPr>
      <w:r>
        <w:t xml:space="preserve">α, β, φ, γ: Sensitivity parameters for salience, action, coordination and data</w:t>
      </w:r>
    </w:p>
    <w:p>
      <w:pPr>
        <w:pStyle w:val="Compact"/>
        <w:numPr>
          <w:ilvl w:val="0"/>
          <w:numId w:val="1002"/>
        </w:numPr>
      </w:pPr>
      <w:r>
        <w:t xml:space="preserve">L: Loss associated with the adverse state</w:t>
      </w:r>
    </w:p>
    <w:p>
      <w:pPr>
        <w:pStyle w:val="Compact"/>
        <w:numPr>
          <w:ilvl w:val="0"/>
          <w:numId w:val="1002"/>
        </w:numPr>
      </w:pPr>
      <w:r>
        <w:t xml:space="preserve">λ: Loss-aversion coefficient</w:t>
      </w:r>
    </w:p>
    <w:p>
      <w:pPr>
        <w:pStyle w:val="Compact"/>
        <w:numPr>
          <w:ilvl w:val="0"/>
          <w:numId w:val="1002"/>
        </w:numPr>
      </w:pPr>
      <w:r>
        <w:t xml:space="preserve">Π: Set of plausible probability distributions</w:t>
      </w:r>
    </w:p>
    <w:p>
      <w:pPr>
        <w:pStyle w:val="Compact"/>
        <w:numPr>
          <w:ilvl w:val="0"/>
          <w:numId w:val="1002"/>
        </w:numPr>
      </w:pPr>
      <w:r>
        <w:t xml:space="preserve">π̄: Worst-case probability under ambiguity</w:t>
      </w:r>
    </w:p>
    <w:p>
      <w:pPr>
        <w:pStyle w:val="Compact"/>
        <w:numPr>
          <w:ilvl w:val="0"/>
          <w:numId w:val="1002"/>
        </w:numPr>
      </w:pPr>
      <w:r>
        <w:t xml:space="preserve">κ: Cost of accepting responsibility</w:t>
      </w:r>
    </w:p>
    <w:p>
      <w:pPr>
        <w:pStyle w:val="Compact"/>
        <w:numPr>
          <w:ilvl w:val="0"/>
          <w:numId w:val="1002"/>
        </w:numPr>
      </w:pPr>
      <w:r>
        <w:t xml:space="preserve">c_d: Cost of delegating responsibility</w:t>
      </w:r>
    </w:p>
    <w:p>
      <w:pPr>
        <w:pStyle w:val="Compact"/>
        <w:numPr>
          <w:ilvl w:val="0"/>
          <w:numId w:val="1002"/>
        </w:numPr>
      </w:pPr>
      <w:r>
        <w:t xml:space="preserve">r: Governmental reputation stock</w:t>
      </w:r>
    </w:p>
    <w:p>
      <w:pPr>
        <w:pStyle w:val="Compact"/>
        <w:numPr>
          <w:ilvl w:val="0"/>
          <w:numId w:val="1002"/>
        </w:numPr>
      </w:pPr>
      <w:r>
        <w:t xml:space="preserve">λ_m: Electoral salience weight of migration</w:t>
      </w:r>
    </w:p>
    <w:p>
      <w:pPr>
        <w:pStyle w:val="Compact"/>
        <w:numPr>
          <w:ilvl w:val="0"/>
          <w:numId w:val="1002"/>
        </w:numPr>
      </w:pPr>
      <w:r>
        <w:t xml:space="preserve">b*: Ideological position of the threshold voter</w:t>
      </w:r>
    </w:p>
    <w:p>
      <w:pPr>
        <w:pStyle w:val="Compact"/>
        <w:numPr>
          <w:ilvl w:val="0"/>
          <w:numId w:val="1002"/>
        </w:numPr>
      </w:pPr>
      <w:r>
        <w:t xml:space="preserve">f(b*): Density of voters around the electoral threshold</w:t>
      </w:r>
    </w:p>
    <w:p>
      <w:pPr>
        <w:pStyle w:val="Compact"/>
        <w:numPr>
          <w:ilvl w:val="0"/>
          <w:numId w:val="1002"/>
        </w:numPr>
      </w:pPr>
      <w:r>
        <w:t xml:space="preserve">V_M: Vote share of Meloni’s coalition</w:t>
      </w:r>
    </w:p>
    <w:p>
      <w:pPr>
        <w:pStyle w:val="Compact"/>
        <w:numPr>
          <w:ilvl w:val="0"/>
          <w:numId w:val="1002"/>
        </w:numPr>
      </w:pPr>
      <w:r>
        <w:t xml:space="preserve">ΔE_M: Net electoral payoff from the Ceuta strategy</w:t>
      </w:r>
    </w:p>
    <w:bookmarkEnd w:id="44"/>
    <w:bookmarkStart w:id="45" w:name="references"/>
    <w:p>
      <w:pPr>
        <w:pStyle w:val="Heading2"/>
      </w:pPr>
      <w:r>
        <w:t xml:space="preserve">References</w:t>
      </w:r>
    </w:p>
    <w:p>
      <w:pPr>
        <w:pStyle w:val="Compact"/>
        <w:numPr>
          <w:ilvl w:val="0"/>
          <w:numId w:val="1003"/>
        </w:numPr>
      </w:pPr>
      <w:r>
        <w:t xml:space="preserve">Bartling, B., &amp; Fischbacher, U. (2012). Shifting the blame: On delegation and responsibility. Review of Economic Studies, 79(1), 67–87.</w:t>
      </w:r>
    </w:p>
    <w:p>
      <w:pPr>
        <w:pStyle w:val="Compact"/>
        <w:numPr>
          <w:ilvl w:val="0"/>
          <w:numId w:val="1003"/>
        </w:numPr>
      </w:pPr>
      <w:r>
        <w:t xml:space="preserve">Bordalo, P., Gennaioli, N., &amp; Shleifer, A. (2012). Salience theory of choice under risk. Quarterly Journal of Economics, 127(3), 1243–1285.</w:t>
      </w:r>
    </w:p>
    <w:p>
      <w:pPr>
        <w:pStyle w:val="Compact"/>
        <w:numPr>
          <w:ilvl w:val="0"/>
          <w:numId w:val="1003"/>
        </w:numPr>
      </w:pPr>
      <w:r>
        <w:t xml:space="preserve">Cadena SER. (2026, July 31). Sánchez responde a Italia tras la amenaza de Meloni de suspender Schengen con España.</w:t>
      </w:r>
    </w:p>
    <w:p>
      <w:pPr>
        <w:pStyle w:val="Compact"/>
        <w:numPr>
          <w:ilvl w:val="0"/>
          <w:numId w:val="1003"/>
        </w:numPr>
      </w:pPr>
      <w:r>
        <w:t xml:space="preserve">Crawford, V. P., &amp; Sobel, J. (1982). Strategic information transmission. Econometrica, 50(6), 1431–1451.</w:t>
      </w:r>
    </w:p>
    <w:p>
      <w:pPr>
        <w:pStyle w:val="Compact"/>
        <w:numPr>
          <w:ilvl w:val="0"/>
          <w:numId w:val="1003"/>
        </w:numPr>
      </w:pPr>
      <w:r>
        <w:t xml:space="preserve">Downs, A. (1957). An Economic Theory of Democracy. Harper &amp; Row.</w:t>
      </w:r>
    </w:p>
    <w:p>
      <w:pPr>
        <w:pStyle w:val="Compact"/>
        <w:numPr>
          <w:ilvl w:val="0"/>
          <w:numId w:val="1003"/>
        </w:numPr>
      </w:pPr>
      <w:r>
        <w:t xml:space="preserve">El País. (2026, July 31; updated August 1). La entrada de inmigrantes a Ceuta: Albares pide poner fin a la “confusión interesada”.</w:t>
      </w:r>
    </w:p>
    <w:p>
      <w:pPr>
        <w:pStyle w:val="Compact"/>
        <w:numPr>
          <w:ilvl w:val="0"/>
          <w:numId w:val="1003"/>
        </w:numPr>
      </w:pPr>
      <w:r>
        <w:t xml:space="preserve">European Commission. (2026a). Temporary reintroduction of border control: Current temporarily reintroduced border controls. Migration and Home Affairs.</w:t>
      </w:r>
    </w:p>
    <w:p>
      <w:pPr>
        <w:pStyle w:val="Compact"/>
        <w:numPr>
          <w:ilvl w:val="0"/>
          <w:numId w:val="1003"/>
        </w:numPr>
      </w:pPr>
      <w:r>
        <w:t xml:space="preserve">European Commission. (2026b, July 9). Irregular border crossings into the EU down 40% in the first five months of 2026. Frontex news release.</w:t>
      </w:r>
    </w:p>
    <w:p>
      <w:pPr>
        <w:pStyle w:val="Compact"/>
        <w:numPr>
          <w:ilvl w:val="0"/>
          <w:numId w:val="1003"/>
        </w:numPr>
      </w:pPr>
      <w:r>
        <w:t xml:space="preserve">European Parliament and Council. (2016). Regulation (EU) 2016/399 of 9 March 2016 on a Union Code on the rules governing the movement of persons across borders (Schengen Borders Code), as amended.</w:t>
      </w:r>
    </w:p>
    <w:p>
      <w:pPr>
        <w:pStyle w:val="Compact"/>
        <w:numPr>
          <w:ilvl w:val="0"/>
          <w:numId w:val="1003"/>
        </w:numPr>
      </w:pPr>
      <w:r>
        <w:t xml:space="preserve">Gilboa, I., &amp; Schmeidler, D. (1989). Maxmin expected utility with non-unique prior. Journal of Mathematical Economics, 18(2), 141–153.</w:t>
      </w:r>
    </w:p>
    <w:p>
      <w:pPr>
        <w:pStyle w:val="Compact"/>
        <w:numPr>
          <w:ilvl w:val="0"/>
          <w:numId w:val="1003"/>
        </w:numPr>
      </w:pPr>
      <w:r>
        <w:t xml:space="preserve">Hamman, J. R., Loewenstein, G., &amp; Weber, R. A. (2010). Self-interest through delegation: An additional rationale for the principal-agent relationship. American Economic Review, 100(4), 1826–1846.</w:t>
      </w:r>
    </w:p>
    <w:p>
      <w:pPr>
        <w:pStyle w:val="Compact"/>
        <w:numPr>
          <w:ilvl w:val="0"/>
          <w:numId w:val="1003"/>
        </w:numPr>
      </w:pPr>
      <w:r>
        <w:t xml:space="preserve">Harsanyi, J. C. (1967–1968). Games with incomplete information played by “Bayesian” players, Parts I–III. Management Science, 14, 159–182, 320–334, 486–502.</w:t>
      </w:r>
    </w:p>
    <w:p>
      <w:pPr>
        <w:pStyle w:val="Compact"/>
        <w:numPr>
          <w:ilvl w:val="0"/>
          <w:numId w:val="1003"/>
        </w:numPr>
      </w:pPr>
      <w:r>
        <w:t xml:space="preserve">Kahneman, D., &amp; Tversky, A. (1979). Prospect theory: An analysis of decision under risk. Econometrica, 47(2), 263–291.</w:t>
      </w:r>
    </w:p>
    <w:p>
      <w:pPr>
        <w:pStyle w:val="Compact"/>
        <w:numPr>
          <w:ilvl w:val="0"/>
          <w:numId w:val="1003"/>
        </w:numPr>
      </w:pPr>
      <w:r>
        <w:t xml:space="preserve">Kamenica, E., &amp; Gentzkow, M. (2011). Bayesian persuasion. American Economic Review, 101(6), 2590–2615.</w:t>
      </w:r>
    </w:p>
    <w:p>
      <w:pPr>
        <w:pStyle w:val="Compact"/>
        <w:numPr>
          <w:ilvl w:val="0"/>
          <w:numId w:val="1003"/>
        </w:numPr>
      </w:pPr>
      <w:r>
        <w:t xml:space="preserve">Kőszegi, B., &amp; Rabin, M. (2006). A model of reference-dependent preferences. Quarterly Journal of Economics, 121(4), 1133–1165.</w:t>
      </w:r>
    </w:p>
    <w:p>
      <w:pPr>
        <w:pStyle w:val="Compact"/>
        <w:numPr>
          <w:ilvl w:val="0"/>
          <w:numId w:val="1003"/>
        </w:numPr>
      </w:pPr>
      <w:r>
        <w:t xml:space="preserve">Lupia, A., &amp; McCubbins, M. D. (1998). The Democratic Dilemma: Can Citizens Learn What They Need to Know? Cambridge University Press.</w:t>
      </w:r>
    </w:p>
    <w:p>
      <w:pPr>
        <w:pStyle w:val="Compact"/>
        <w:numPr>
          <w:ilvl w:val="0"/>
          <w:numId w:val="1003"/>
        </w:numPr>
      </w:pPr>
      <w:r>
        <w:t xml:space="preserve">Morris, S., &amp; Shin, H. S. (2002). Social value of public information. American Economic Review, 92(5), 1521–1534.</w:t>
      </w:r>
    </w:p>
    <w:p>
      <w:pPr>
        <w:pStyle w:val="Compact"/>
        <w:numPr>
          <w:ilvl w:val="0"/>
          <w:numId w:val="1003"/>
        </w:numPr>
      </w:pPr>
      <w:r>
        <w:t xml:space="preserve">Petrocik, J. R. (1996). Issue ownership in presidential elections, with a 1980 case study. American Journal of Political Science, 40(3), 825–850.</w:t>
      </w:r>
    </w:p>
    <w:p>
      <w:pPr>
        <w:pStyle w:val="Compact"/>
        <w:numPr>
          <w:ilvl w:val="0"/>
          <w:numId w:val="1003"/>
        </w:numPr>
      </w:pPr>
      <w:r>
        <w:t xml:space="preserve">Reuters. (2026, July 31). Spain says migrants are returning from Ceuta after 57 die in border rush.</w:t>
      </w:r>
    </w:p>
    <w:p>
      <w:pPr>
        <w:pStyle w:val="Compact"/>
        <w:numPr>
          <w:ilvl w:val="0"/>
          <w:numId w:val="1003"/>
        </w:numPr>
      </w:pPr>
      <w:r>
        <w:t xml:space="preserve">Riker, W. H. (1986). The Art of Political Manipulation. Yale University Press.</w:t>
      </w:r>
    </w:p>
    <w:p>
      <w:pPr>
        <w:pStyle w:val="Compact"/>
        <w:numPr>
          <w:ilvl w:val="0"/>
          <w:numId w:val="1003"/>
        </w:numPr>
      </w:pPr>
      <w:r>
        <w:t xml:space="preserve">Schelling, T. C. (1960). The Strategy of Conflict. Harvard University Press.</w:t>
      </w:r>
    </w:p>
    <w:p>
      <w:pPr>
        <w:pStyle w:val="Compact"/>
        <w:numPr>
          <w:ilvl w:val="0"/>
          <w:numId w:val="1003"/>
        </w:numPr>
      </w:pPr>
      <w:r>
        <w:t xml:space="preserve">Sims, C. A. (2003). Implications of rational inattention. Journal of Monetary Economics, 50(3), 665–690.</w:t>
      </w:r>
    </w:p>
    <w:p>
      <w:pPr>
        <w:pStyle w:val="Compact"/>
        <w:numPr>
          <w:ilvl w:val="0"/>
          <w:numId w:val="1003"/>
        </w:numPr>
      </w:pPr>
      <w:r>
        <w:t xml:space="preserve">Spence, M. (1973). Job market signaling. Quarterly Journal of Economics, 87(3), 355–374.</w:t>
      </w:r>
    </w:p>
    <w:p>
      <w:pPr>
        <w:pStyle w:val="Compact"/>
        <w:numPr>
          <w:ilvl w:val="0"/>
          <w:numId w:val="1003"/>
        </w:numPr>
      </w:pPr>
      <w:r>
        <w:t xml:space="preserve">Tversky, A., &amp; Kahneman, D. (1992). Advances in prospect theory: Cumulative representation of uncertainty. Journal of Risk and Uncertainty, 5, 297–323.</w:t>
      </w:r>
    </w:p>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2026-08-13T19:02:46Z</dcterms:created>
  <dcterms:modified xsi:type="dcterms:W3CDTF">2026-08-13T19:02:46Z</dcterms:modified>
</cp:coreProperties>
</file>

<file path=docProps/custom.xml><?xml version="1.0" encoding="utf-8"?>
<Properties xmlns="http://schemas.openxmlformats.org/officeDocument/2006/custom-properties" xmlns:vt="http://schemas.openxmlformats.org/officeDocument/2006/docPropsVTypes"/>
</file>